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0D82" w14:textId="116B07CD" w:rsidR="00350E0E" w:rsidRPr="00350E0E" w:rsidRDefault="00350E0E" w:rsidP="00350E0E">
      <w:pPr>
        <w:shd w:val="clear" w:color="auto" w:fill="FFFFFF"/>
        <w:spacing w:after="0" w:line="240" w:lineRule="auto"/>
        <w:jc w:val="right"/>
        <w:rPr>
          <w:rFonts w:ascii="Fira Sans" w:eastAsia="Times New Roman" w:hAnsi="Fira Sans" w:cs="Times New Roman"/>
          <w:color w:val="474747"/>
          <w:sz w:val="24"/>
          <w:szCs w:val="24"/>
          <w:lang w:eastAsia="it-IT"/>
        </w:rPr>
      </w:pPr>
    </w:p>
    <w:p w14:paraId="58935CDA" w14:textId="25B83AEF" w:rsidR="00350E0E" w:rsidRDefault="00AC6803" w:rsidP="00350E0E">
      <w:pPr>
        <w:shd w:val="clear" w:color="auto" w:fill="FFFFFF"/>
        <w:spacing w:after="120" w:line="240" w:lineRule="auto"/>
        <w:rPr>
          <w:rFonts w:ascii="inherit" w:eastAsia="Times New Roman" w:hAnsi="inherit" w:cs="Times New Roman"/>
          <w:color w:val="474747"/>
          <w:sz w:val="24"/>
          <w:szCs w:val="24"/>
          <w:lang w:eastAsia="it-IT"/>
        </w:rPr>
      </w:pPr>
      <w:r>
        <w:rPr>
          <w:rFonts w:ascii="inherit" w:eastAsia="Times New Roman" w:hAnsi="inherit" w:cs="Times New Roman"/>
          <w:color w:val="474747"/>
          <w:sz w:val="24"/>
          <w:szCs w:val="24"/>
          <w:lang w:eastAsia="it-IT"/>
        </w:rPr>
        <w:t xml:space="preserve">Legge </w:t>
      </w:r>
      <w:r w:rsidR="00CC2DD7">
        <w:rPr>
          <w:rFonts w:ascii="inherit" w:eastAsia="Times New Roman" w:hAnsi="inherit" w:cs="Times New Roman"/>
          <w:color w:val="474747"/>
          <w:sz w:val="24"/>
          <w:szCs w:val="24"/>
          <w:lang w:eastAsia="it-IT"/>
        </w:rPr>
        <w:t xml:space="preserve">22 aprile 2021, n. 53 – Delega al Governo per il recepimento delle direttive europee e l’attuazione di altri </w:t>
      </w:r>
      <w:r w:rsidR="009E2D06">
        <w:rPr>
          <w:rFonts w:ascii="inherit" w:eastAsia="Times New Roman" w:hAnsi="inherit" w:cs="Times New Roman"/>
          <w:color w:val="474747"/>
          <w:sz w:val="24"/>
          <w:szCs w:val="24"/>
          <w:lang w:eastAsia="it-IT"/>
        </w:rPr>
        <w:t>atti dell’Unione europea</w:t>
      </w:r>
      <w:r w:rsidR="00634B3E">
        <w:rPr>
          <w:rFonts w:ascii="inherit" w:eastAsia="Times New Roman" w:hAnsi="inherit" w:cs="Times New Roman"/>
          <w:color w:val="474747"/>
          <w:sz w:val="24"/>
          <w:szCs w:val="24"/>
          <w:lang w:eastAsia="it-IT"/>
        </w:rPr>
        <w:t xml:space="preserve"> - Legge di delegazione europea 2019-2020</w:t>
      </w:r>
    </w:p>
    <w:p w14:paraId="094E680B" w14:textId="77777777" w:rsidR="00AC6803" w:rsidRDefault="00AC6803" w:rsidP="00350E0E">
      <w:pPr>
        <w:shd w:val="clear" w:color="auto" w:fill="FFFFFF"/>
        <w:spacing w:after="120" w:line="240" w:lineRule="auto"/>
        <w:rPr>
          <w:rFonts w:ascii="inherit" w:eastAsia="Times New Roman" w:hAnsi="inherit" w:cs="Times New Roman"/>
          <w:color w:val="474747"/>
          <w:sz w:val="24"/>
          <w:szCs w:val="24"/>
          <w:lang w:eastAsia="it-IT"/>
        </w:rPr>
      </w:pPr>
    </w:p>
    <w:p w14:paraId="1796A4D3" w14:textId="64736DDA" w:rsidR="00634B3E" w:rsidRDefault="00634B3E" w:rsidP="00350E0E">
      <w:pPr>
        <w:shd w:val="clear" w:color="auto" w:fill="FFFFFF"/>
        <w:spacing w:after="120" w:line="240" w:lineRule="auto"/>
        <w:rPr>
          <w:rFonts w:ascii="inherit" w:eastAsia="Times New Roman" w:hAnsi="inherit" w:cs="Times New Roman"/>
          <w:color w:val="474747"/>
          <w:sz w:val="24"/>
          <w:szCs w:val="24"/>
          <w:lang w:eastAsia="it-IT"/>
        </w:rPr>
      </w:pPr>
      <w:r>
        <w:rPr>
          <w:rFonts w:ascii="inherit" w:eastAsia="Times New Roman" w:hAnsi="inherit" w:cs="Times New Roman"/>
          <w:color w:val="474747"/>
          <w:sz w:val="24"/>
          <w:szCs w:val="24"/>
          <w:lang w:eastAsia="it-IT"/>
        </w:rPr>
        <w:t xml:space="preserve">                                                                   Art. 20 </w:t>
      </w:r>
    </w:p>
    <w:p w14:paraId="3B4A25D4" w14:textId="7592572F" w:rsidR="009A1E7A" w:rsidRPr="009A1E7A" w:rsidRDefault="009A1E7A" w:rsidP="009A1E7A">
      <w:pPr>
        <w:shd w:val="clear" w:color="auto" w:fill="FFFFFF"/>
        <w:spacing w:after="120" w:line="240" w:lineRule="auto"/>
        <w:jc w:val="both"/>
        <w:rPr>
          <w:rFonts w:eastAsia="Times New Roman" w:cstheme="minorHAnsi"/>
          <w:i/>
          <w:iCs/>
          <w:color w:val="474747"/>
          <w:lang w:eastAsia="it-IT"/>
        </w:rPr>
      </w:pPr>
      <w:r w:rsidRPr="009A1E7A">
        <w:rPr>
          <w:rFonts w:cstheme="minorHAnsi"/>
          <w:i/>
          <w:iCs/>
          <w:color w:val="474747"/>
          <w:shd w:val="clear" w:color="auto" w:fill="FFFFFF"/>
        </w:rPr>
        <w:t>Princìpi e criteri direttivi per l'adeguamento della normativa nazionale alle disposizioni del regolamento (UE) 2019/1238, sul prodotto pensionistico individuale paneuropeo (PEPP)</w:t>
      </w:r>
    </w:p>
    <w:p w14:paraId="06128FD8" w14:textId="27B9A25D"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1.    Il Governo adotta, entro dodici mesi dalla data di entrata in vigore della presente legge, uno o più decreti legislativi per l'adeguamento della normativa nazionale alle disposizioni del regolamento (UE) 2019/1238 del Parlamento europeo e del Consiglio, del 20 giugno 2019.</w:t>
      </w:r>
    </w:p>
    <w:p w14:paraId="1124F7D6" w14:textId="77777777" w:rsidR="00350E0E" w:rsidRPr="00350E0E" w:rsidRDefault="00350E0E" w:rsidP="009A1E7A">
      <w:pPr>
        <w:shd w:val="clear" w:color="auto" w:fill="FFFFFF"/>
        <w:spacing w:after="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2.    Nell'esercizio della delega di cui al comma 1 il Governo osserva, oltre ai princìpi e criteri direttivi generali di cui all'</w:t>
      </w:r>
      <w:hyperlink r:id="rId5" w:history="1">
        <w:r w:rsidRPr="00350E0E">
          <w:rPr>
            <w:rFonts w:ascii="inherit" w:eastAsia="Times New Roman" w:hAnsi="inherit" w:cs="Times New Roman"/>
            <w:color w:val="474747"/>
            <w:sz w:val="24"/>
            <w:szCs w:val="24"/>
            <w:lang w:eastAsia="it-IT"/>
          </w:rPr>
          <w:t>articolo 32 della legge n. 234 del 2012</w:t>
        </w:r>
      </w:hyperlink>
      <w:r w:rsidRPr="00350E0E">
        <w:rPr>
          <w:rFonts w:ascii="inherit" w:eastAsia="Times New Roman" w:hAnsi="inherit" w:cs="Times New Roman"/>
          <w:color w:val="474747"/>
          <w:sz w:val="24"/>
          <w:szCs w:val="24"/>
          <w:lang w:eastAsia="it-IT"/>
        </w:rPr>
        <w:t>, anche i seguenti princìpi e criteri direttivi specifici:</w:t>
      </w:r>
    </w:p>
    <w:p w14:paraId="52448038"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a)  individuare e designare la Commissione di vigilanza sui fondi pensione (COVIP) come autorità competente per le procedure di registrazione e di annullamento della registrazione, nonché come unico soggetto deputato allo scambio di informazioni con le autorità competenti degli Stati membri e di comunicazioni con l'Autorità europea delle assicurazioni e delle pensioni aziendali e professionali (EIOPA); individuare e designare le autorità nazionali competenti, ai fini dello svolgimento delle altre attività di vigilanza previste dal medesimo regolamento, tra cui la vigilanza sull'adozione e la corretta attuazione delle procedure in materia di governo e di controllo del prodotto in coerenza con il generale assetto e il riparto di competenze previsti, a livello nazionale, tra la COVIP, la Banca d'Italia, la CONSOB e l'Istituto per la vigilanza sulle assicurazioni (IVASS), con particolare riguardo alle competenze previste in materia di autorizzazione alla costituzione delle forme pensionistiche individuali e vigilanza sulle stesse, anche prevedendo forme di coordinamento e di intesa tra le anzidette autorità;</w:t>
      </w:r>
    </w:p>
    <w:p w14:paraId="28F7B604"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b)  attribuire alle autorità designate ai sensi della lettera a) i poteri previsti dal regolamento (UE) 2019/1238, ivi inclusi i poteri di vigilanza e di indagine e quelli di intervento sul prodotto rispettivamente previsti dagli articoli 62 e 63 del medesimo regolamento, in coerenza con quanto disposto ai sensi della lettera a);</w:t>
      </w:r>
    </w:p>
    <w:p w14:paraId="420E90D8"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c)  individuare nella COVIP l'autorità nazionale competente a effettuare la pubblicazione nel proprio sito internet delle disposizioni nazionali, primarie e secondarie, di cui all'articolo 12, paragrafo 1, del regolamento (UE) 2019/1238, prevedendo che la Banca d'Italia, la CONSOB e l'IVASS garantiscano un collegamento diretto dai propri siti internet a tale pubblicazione;</w:t>
      </w:r>
    </w:p>
    <w:p w14:paraId="43D77CB2"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d)  definire per i prodotti pensionistici individuali paneuropei (PEPP) un trattamento fiscale analogo a quello previsto per le forme pensionistiche complementari di cui al </w:t>
      </w:r>
      <w:hyperlink r:id="rId6" w:history="1">
        <w:r w:rsidRPr="00350E0E">
          <w:rPr>
            <w:rFonts w:ascii="inherit" w:eastAsia="Times New Roman" w:hAnsi="inherit" w:cs="Times New Roman"/>
            <w:color w:val="474747"/>
            <w:sz w:val="24"/>
            <w:szCs w:val="24"/>
            <w:lang w:eastAsia="it-IT"/>
          </w:rPr>
          <w:t>decreto legislativo 5 dicembre 2005, n. 252</w:t>
        </w:r>
      </w:hyperlink>
      <w:r w:rsidRPr="00350E0E">
        <w:rPr>
          <w:rFonts w:ascii="inherit" w:eastAsia="Times New Roman" w:hAnsi="inherit" w:cs="Times New Roman"/>
          <w:color w:val="474747"/>
          <w:sz w:val="24"/>
          <w:szCs w:val="24"/>
          <w:lang w:eastAsia="it-IT"/>
        </w:rPr>
        <w:t>, anche prevedendo l'obbligo della sussistenza di requisiti che garantiscano al risparmiatore in PEPP un livello di tutela almeno analogo a quello derivante dalla sottoscrizione di forme pensionistiche complementari già esistenti;</w:t>
      </w:r>
    </w:p>
    <w:p w14:paraId="3CD7846B"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e)  esercitare l'opzione di cui all'articolo 37, paragrafo 3, del regolamento (UE) 2019/1238, che consente di imporre ai fornitori di PEPP di fornire, ai risparmiatori in PEPP, proiezioni pensionistiche aggiuntive rispetto a quelle previste dal regolamento (UE) 2019/1238, basate su ipotesi fissate a livello nazionale in modo da permettere la confrontabilità con i prodotti nazionali;</w:t>
      </w:r>
    </w:p>
    <w:p w14:paraId="32FFC8D9"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f)  esercitare, in coerenza con la vigente disciplina delle forme pensionistiche complementari di cui al </w:t>
      </w:r>
      <w:hyperlink r:id="rId7" w:history="1">
        <w:r w:rsidRPr="00350E0E">
          <w:rPr>
            <w:rFonts w:ascii="inherit" w:eastAsia="Times New Roman" w:hAnsi="inherit" w:cs="Times New Roman"/>
            <w:color w:val="474747"/>
            <w:sz w:val="24"/>
            <w:szCs w:val="24"/>
            <w:lang w:eastAsia="it-IT"/>
          </w:rPr>
          <w:t>decreto legislativo n. 252 del 2005</w:t>
        </w:r>
      </w:hyperlink>
      <w:r w:rsidRPr="00350E0E">
        <w:rPr>
          <w:rFonts w:ascii="inherit" w:eastAsia="Times New Roman" w:hAnsi="inherit" w:cs="Times New Roman"/>
          <w:color w:val="474747"/>
          <w:sz w:val="24"/>
          <w:szCs w:val="24"/>
          <w:lang w:eastAsia="it-IT"/>
        </w:rPr>
        <w:t xml:space="preserve">, l'opzione di cui all'articolo 47, paragrafo 1, del </w:t>
      </w:r>
      <w:r w:rsidRPr="00350E0E">
        <w:rPr>
          <w:rFonts w:ascii="inherit" w:eastAsia="Times New Roman" w:hAnsi="inherit" w:cs="Times New Roman"/>
          <w:color w:val="474747"/>
          <w:sz w:val="24"/>
          <w:szCs w:val="24"/>
          <w:lang w:eastAsia="it-IT"/>
        </w:rPr>
        <w:lastRenderedPageBreak/>
        <w:t>regolamento (UE) 2019/1238, che consente di determinare le condizioni relative alla fase di accumulo del sottoconto nazionale del PEPP;</w:t>
      </w:r>
    </w:p>
    <w:p w14:paraId="19C90DB8"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g)  esercitare l'opzione di cui all'articolo 53, paragrafo 2, del regolamento (UE) 2019/1238, che consente di prevedere che la richiesta di trasferimento del risparmiatore in PEPP sia presentata in forma scritta e che questi abbia anche il diritto di ricevere comunicazione, in forma scritta, da parte del fornitore di PEPP, dell'accoglimento della stessa;</w:t>
      </w:r>
    </w:p>
    <w:p w14:paraId="511FFA00"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h)  esercitare l'opzione di cui all'articolo 54, paragrafo 3, del regolamento (UE) 2019/1238, che, nel caso di richiesta di trasferimento del risparmiatore in PEPP, consente di fissare le commissioni e gli oneri addebitati al risparmiatore in PEPP dal fornitore di PEPP trasferente, per la chiusura del conto PEPP detenuto presso di esso, ad un limite inferiore rispetto a quello previsto nella medesima disposizione, ovvero ad un limite diverso nel caso in cui il fornitore di PEPP consenta ai risparmiatori in PEPP di effettuare il trasferimento presso altro fornitore di PEPP con una frequenza maggiore di quella prevista dall'articolo 52, paragrafo 3, dello stesso regolamento;</w:t>
      </w:r>
    </w:p>
    <w:p w14:paraId="52C6A7A4"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i)  esercitare, in coerenza con la vigente disciplina delle forme pensionistiche complementari di cui al </w:t>
      </w:r>
      <w:hyperlink r:id="rId8" w:history="1">
        <w:r w:rsidRPr="00350E0E">
          <w:rPr>
            <w:rFonts w:ascii="inherit" w:eastAsia="Times New Roman" w:hAnsi="inherit" w:cs="Times New Roman"/>
            <w:color w:val="474747"/>
            <w:sz w:val="24"/>
            <w:szCs w:val="24"/>
            <w:lang w:eastAsia="it-IT"/>
          </w:rPr>
          <w:t>decreto legislativo n. 252 del 2005</w:t>
        </w:r>
      </w:hyperlink>
      <w:r w:rsidRPr="00350E0E">
        <w:rPr>
          <w:rFonts w:ascii="inherit" w:eastAsia="Times New Roman" w:hAnsi="inherit" w:cs="Times New Roman"/>
          <w:color w:val="474747"/>
          <w:sz w:val="24"/>
          <w:szCs w:val="24"/>
          <w:lang w:eastAsia="it-IT"/>
        </w:rPr>
        <w:t xml:space="preserve">, l'opzione di cui all'articolo 57, paragrafo 1, del regolamento (UE) 2019/1238, che consente di fissare le condizioni riguardanti la fase di </w:t>
      </w:r>
      <w:proofErr w:type="spellStart"/>
      <w:r w:rsidRPr="00350E0E">
        <w:rPr>
          <w:rFonts w:ascii="inherit" w:eastAsia="Times New Roman" w:hAnsi="inherit" w:cs="Times New Roman"/>
          <w:color w:val="474747"/>
          <w:sz w:val="24"/>
          <w:szCs w:val="24"/>
          <w:lang w:eastAsia="it-IT"/>
        </w:rPr>
        <w:t>decumulo</w:t>
      </w:r>
      <w:proofErr w:type="spellEnd"/>
      <w:r w:rsidRPr="00350E0E">
        <w:rPr>
          <w:rFonts w:ascii="inherit" w:eastAsia="Times New Roman" w:hAnsi="inherit" w:cs="Times New Roman"/>
          <w:color w:val="474747"/>
          <w:sz w:val="24"/>
          <w:szCs w:val="24"/>
          <w:lang w:eastAsia="it-IT"/>
        </w:rPr>
        <w:t xml:space="preserve"> e le erogazioni del sottoconto nazionale, ivi incluse le condizioni del rimborso prima dell'inizio della fase di </w:t>
      </w:r>
      <w:proofErr w:type="spellStart"/>
      <w:r w:rsidRPr="00350E0E">
        <w:rPr>
          <w:rFonts w:ascii="inherit" w:eastAsia="Times New Roman" w:hAnsi="inherit" w:cs="Times New Roman"/>
          <w:color w:val="474747"/>
          <w:sz w:val="24"/>
          <w:szCs w:val="24"/>
          <w:lang w:eastAsia="it-IT"/>
        </w:rPr>
        <w:t>decumulo</w:t>
      </w:r>
      <w:proofErr w:type="spellEnd"/>
      <w:r w:rsidRPr="00350E0E">
        <w:rPr>
          <w:rFonts w:ascii="inherit" w:eastAsia="Times New Roman" w:hAnsi="inherit" w:cs="Times New Roman"/>
          <w:color w:val="474747"/>
          <w:sz w:val="24"/>
          <w:szCs w:val="24"/>
          <w:lang w:eastAsia="it-IT"/>
        </w:rPr>
        <w:t>;</w:t>
      </w:r>
    </w:p>
    <w:p w14:paraId="2A1A3005"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l)  esercitare l'opzione di cui all'articolo 58, paragrafo 3, del regolamento (UE) 2019/1238, che consente di adottare misure volte a privilegiare la rendita vitalizia quale forma di erogazione della prestazione, coordinando e collegando tali misure alla definizione del trattamento fiscale di cui alla lettera d);</w:t>
      </w:r>
    </w:p>
    <w:p w14:paraId="49B109CE"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m)  esercitare l'opzione di cui all'articolo 58, paragrafo 4, del regolamento (UE) 2019/1238, che consente di specificare le condizioni che devono sussistere affinché lo Stato possa esigere il rimborso dei vantaggi e degli incentivi concessi ai risparmiatori in PEPP ai sensi della lettera c);</w:t>
      </w:r>
    </w:p>
    <w:p w14:paraId="27D20372"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n)  attribuire alle autorità designate ai sensi della lettera a) il potere di imporre le sanzioni e le altre misure amministrative previste dall'articolo 67, paragrafo 3, del regolamento (UE) 2019/1238 per le violazioni previste dal paragrafo 2 del medesimo articolo 67 e per le violazioni di ulteriori obblighi previsti dal regolamento medesimo, nel rispetto dei criteri e dei limiti nonché delle procedure previsti dalle disposizioni nazionali vigenti che disciplinano l'esercizio del potere sanzionatorio da parte delle autorità anzidette, avuto riguardo alla ripartizione di competenze secondo i princìpi indicati nella lettera a); le sanzioni amministrative pecuniarie devono essere non inferiori nel minimo a 500 euro e non superiori nel massimo a quanto previsto dall'articolo 67, paragrafo 3, del regolamento (UE) 2019/1238;</w:t>
      </w:r>
    </w:p>
    <w:p w14:paraId="3EDAFD90"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o)  prevedere che, per stabilire il tipo e il livello delle sanzioni e delle altre misure amministrative previste dall'articolo 67, paragrafo 3, del regolamento (UE) 2019/1238, si tenga conto delle circostanze pertinenti elencate dall'articolo 68, paragrafo 2, del medesimo regolamento e prevedere la pubblicazione delle decisioni che impongono sanzioni o altre misure amministrative nei limiti e secondo le previsioni dell'articolo 69 del medesimo regolamento (UE) 2019/1238;</w:t>
      </w:r>
    </w:p>
    <w:p w14:paraId="723E4C49" w14:textId="77777777" w:rsidR="00350E0E" w:rsidRPr="00350E0E" w:rsidRDefault="00350E0E" w:rsidP="009A1E7A">
      <w:pPr>
        <w:shd w:val="clear" w:color="auto" w:fill="FFFFFF"/>
        <w:spacing w:after="120" w:line="240" w:lineRule="auto"/>
        <w:jc w:val="both"/>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t>p)  apportare alla normativa vigente tutte le modifiche e le integrazioni necessarie a dare adeguamento alle disposizioni del regolamento (UE) 2019/1238 e alle inerenti norme tecniche di regolamentazione e di attuazione della Commissione europea previste dal medesimo regolamento;</w:t>
      </w:r>
    </w:p>
    <w:p w14:paraId="5B017797" w14:textId="77777777" w:rsidR="00350E0E" w:rsidRPr="00350E0E" w:rsidRDefault="00350E0E" w:rsidP="00350E0E">
      <w:pPr>
        <w:shd w:val="clear" w:color="auto" w:fill="FFFFFF"/>
        <w:spacing w:after="120" w:line="240" w:lineRule="auto"/>
        <w:rPr>
          <w:rFonts w:ascii="inherit" w:eastAsia="Times New Roman" w:hAnsi="inherit" w:cs="Times New Roman"/>
          <w:color w:val="474747"/>
          <w:sz w:val="24"/>
          <w:szCs w:val="24"/>
          <w:lang w:eastAsia="it-IT"/>
        </w:rPr>
      </w:pPr>
      <w:r w:rsidRPr="00350E0E">
        <w:rPr>
          <w:rFonts w:ascii="inherit" w:eastAsia="Times New Roman" w:hAnsi="inherit" w:cs="Times New Roman"/>
          <w:color w:val="474747"/>
          <w:sz w:val="24"/>
          <w:szCs w:val="24"/>
          <w:lang w:eastAsia="it-IT"/>
        </w:rPr>
        <w:lastRenderedPageBreak/>
        <w:t>q)  prevedere forme di coordinamento e di intesa tra le autorità di cui alla lettera a), al fine di dare esecuzione alle disposizioni emanate ai sensi del presente articolo.</w:t>
      </w:r>
    </w:p>
    <w:p w14:paraId="5E82E08C" w14:textId="77777777" w:rsidR="009512C2" w:rsidRDefault="009512C2"/>
    <w:sectPr w:rsidR="009512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C1241"/>
    <w:multiLevelType w:val="multilevel"/>
    <w:tmpl w:val="112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0E"/>
    <w:rsid w:val="001A68BE"/>
    <w:rsid w:val="001D6A0E"/>
    <w:rsid w:val="00350E0E"/>
    <w:rsid w:val="004D4BB3"/>
    <w:rsid w:val="00634B3E"/>
    <w:rsid w:val="009512C2"/>
    <w:rsid w:val="009A1E7A"/>
    <w:rsid w:val="009E2D06"/>
    <w:rsid w:val="00A0221E"/>
    <w:rsid w:val="00AC6803"/>
    <w:rsid w:val="00CC2DD7"/>
    <w:rsid w:val="00ED6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38EB"/>
  <w15:chartTrackingRefBased/>
  <w15:docId w15:val="{6B61089D-D341-42BF-9786-FEA4F18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C680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k-active">
    <w:name w:val="wk-active"/>
    <w:basedOn w:val="Normale"/>
    <w:rsid w:val="00350E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ab-label">
    <w:name w:val="tab-label"/>
    <w:basedOn w:val="Carpredefinitoparagrafo"/>
    <w:rsid w:val="00350E0E"/>
  </w:style>
  <w:style w:type="character" w:styleId="Collegamentoipertestuale">
    <w:name w:val="Hyperlink"/>
    <w:basedOn w:val="Carpredefinitoparagrafo"/>
    <w:uiPriority w:val="99"/>
    <w:semiHidden/>
    <w:unhideWhenUsed/>
    <w:rsid w:val="00350E0E"/>
    <w:rPr>
      <w:color w:val="0000FF"/>
      <w:u w:val="single"/>
    </w:rPr>
  </w:style>
  <w:style w:type="character" w:customStyle="1" w:styleId="wkit-inforce-info">
    <w:name w:val="wkit-inforce-info"/>
    <w:basedOn w:val="Carpredefinitoparagrafo"/>
    <w:rsid w:val="00350E0E"/>
  </w:style>
  <w:style w:type="character" w:customStyle="1" w:styleId="Titolo2Carattere">
    <w:name w:val="Titolo 2 Carattere"/>
    <w:basedOn w:val="Carpredefinitoparagrafo"/>
    <w:link w:val="Titolo2"/>
    <w:uiPriority w:val="9"/>
    <w:rsid w:val="00AC6803"/>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81899">
      <w:bodyDiv w:val="1"/>
      <w:marLeft w:val="0"/>
      <w:marRight w:val="0"/>
      <w:marTop w:val="0"/>
      <w:marBottom w:val="0"/>
      <w:divBdr>
        <w:top w:val="none" w:sz="0" w:space="0" w:color="auto"/>
        <w:left w:val="none" w:sz="0" w:space="0" w:color="auto"/>
        <w:bottom w:val="none" w:sz="0" w:space="0" w:color="auto"/>
        <w:right w:val="none" w:sz="0" w:space="0" w:color="auto"/>
      </w:divBdr>
      <w:divsChild>
        <w:div w:id="1816602892">
          <w:marLeft w:val="0"/>
          <w:marRight w:val="0"/>
          <w:marTop w:val="0"/>
          <w:marBottom w:val="0"/>
          <w:divBdr>
            <w:top w:val="none" w:sz="0" w:space="0" w:color="auto"/>
            <w:left w:val="none" w:sz="0" w:space="0" w:color="auto"/>
            <w:bottom w:val="none" w:sz="0" w:space="0" w:color="auto"/>
            <w:right w:val="none" w:sz="0" w:space="0" w:color="auto"/>
          </w:divBdr>
        </w:div>
        <w:div w:id="376399296">
          <w:marLeft w:val="0"/>
          <w:marRight w:val="0"/>
          <w:marTop w:val="0"/>
          <w:marBottom w:val="0"/>
          <w:divBdr>
            <w:top w:val="none" w:sz="0" w:space="0" w:color="auto"/>
            <w:left w:val="none" w:sz="0" w:space="0" w:color="auto"/>
            <w:bottom w:val="none" w:sz="0" w:space="0" w:color="auto"/>
            <w:right w:val="none" w:sz="0" w:space="0" w:color="auto"/>
          </w:divBdr>
          <w:divsChild>
            <w:div w:id="245189840">
              <w:marLeft w:val="0"/>
              <w:marRight w:val="0"/>
              <w:marTop w:val="0"/>
              <w:marBottom w:val="0"/>
              <w:divBdr>
                <w:top w:val="none" w:sz="0" w:space="0" w:color="auto"/>
                <w:left w:val="none" w:sz="0" w:space="0" w:color="auto"/>
                <w:bottom w:val="none" w:sz="0" w:space="0" w:color="auto"/>
                <w:right w:val="none" w:sz="0" w:space="0" w:color="auto"/>
              </w:divBdr>
              <w:divsChild>
                <w:div w:id="1435396644">
                  <w:marLeft w:val="0"/>
                  <w:marRight w:val="0"/>
                  <w:marTop w:val="0"/>
                  <w:marBottom w:val="0"/>
                  <w:divBdr>
                    <w:top w:val="none" w:sz="0" w:space="0" w:color="auto"/>
                    <w:left w:val="none" w:sz="0" w:space="0" w:color="auto"/>
                    <w:bottom w:val="none" w:sz="0" w:space="0" w:color="auto"/>
                    <w:right w:val="none" w:sz="0" w:space="0" w:color="auto"/>
                  </w:divBdr>
                </w:div>
              </w:divsChild>
            </w:div>
            <w:div w:id="17504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7348">
      <w:bodyDiv w:val="1"/>
      <w:marLeft w:val="0"/>
      <w:marRight w:val="0"/>
      <w:marTop w:val="0"/>
      <w:marBottom w:val="0"/>
      <w:divBdr>
        <w:top w:val="none" w:sz="0" w:space="0" w:color="auto"/>
        <w:left w:val="none" w:sz="0" w:space="0" w:color="auto"/>
        <w:bottom w:val="none" w:sz="0" w:space="0" w:color="auto"/>
        <w:right w:val="none" w:sz="0" w:space="0" w:color="auto"/>
      </w:divBdr>
      <w:divsChild>
        <w:div w:id="1437629793">
          <w:marLeft w:val="0"/>
          <w:marRight w:val="0"/>
          <w:marTop w:val="0"/>
          <w:marBottom w:val="0"/>
          <w:divBdr>
            <w:top w:val="none" w:sz="0" w:space="0" w:color="auto"/>
            <w:left w:val="none" w:sz="0" w:space="0" w:color="auto"/>
            <w:bottom w:val="none" w:sz="0" w:space="0" w:color="auto"/>
            <w:right w:val="none" w:sz="0" w:space="0" w:color="auto"/>
          </w:divBdr>
          <w:divsChild>
            <w:div w:id="2086994406">
              <w:marLeft w:val="0"/>
              <w:marRight w:val="0"/>
              <w:marTop w:val="0"/>
              <w:marBottom w:val="0"/>
              <w:divBdr>
                <w:top w:val="none" w:sz="0" w:space="0" w:color="auto"/>
                <w:left w:val="none" w:sz="0" w:space="0" w:color="auto"/>
                <w:bottom w:val="none" w:sz="0" w:space="0" w:color="auto"/>
                <w:right w:val="none" w:sz="0" w:space="0" w:color="auto"/>
              </w:divBdr>
              <w:divsChild>
                <w:div w:id="629633235">
                  <w:marLeft w:val="0"/>
                  <w:marRight w:val="0"/>
                  <w:marTop w:val="0"/>
                  <w:marBottom w:val="0"/>
                  <w:divBdr>
                    <w:top w:val="none" w:sz="0" w:space="0" w:color="auto"/>
                    <w:left w:val="none" w:sz="0" w:space="0" w:color="auto"/>
                    <w:bottom w:val="none" w:sz="0" w:space="0" w:color="auto"/>
                    <w:right w:val="none" w:sz="0" w:space="0" w:color="auto"/>
                  </w:divBdr>
                  <w:divsChild>
                    <w:div w:id="1665552103">
                      <w:marLeft w:val="0"/>
                      <w:marRight w:val="0"/>
                      <w:marTop w:val="0"/>
                      <w:marBottom w:val="0"/>
                      <w:divBdr>
                        <w:top w:val="none" w:sz="0" w:space="0" w:color="auto"/>
                        <w:left w:val="none" w:sz="0" w:space="0" w:color="auto"/>
                        <w:bottom w:val="none" w:sz="0" w:space="0" w:color="auto"/>
                        <w:right w:val="none" w:sz="0" w:space="0" w:color="auto"/>
                      </w:divBdr>
                      <w:divsChild>
                        <w:div w:id="11536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97738">
          <w:marLeft w:val="0"/>
          <w:marRight w:val="0"/>
          <w:marTop w:val="0"/>
          <w:marBottom w:val="0"/>
          <w:divBdr>
            <w:top w:val="none" w:sz="0" w:space="0" w:color="auto"/>
            <w:left w:val="none" w:sz="0" w:space="0" w:color="auto"/>
            <w:bottom w:val="none" w:sz="0" w:space="0" w:color="auto"/>
            <w:right w:val="none" w:sz="0" w:space="0" w:color="auto"/>
          </w:divBdr>
          <w:divsChild>
            <w:div w:id="624656079">
              <w:marLeft w:val="0"/>
              <w:marRight w:val="0"/>
              <w:marTop w:val="0"/>
              <w:marBottom w:val="0"/>
              <w:divBdr>
                <w:top w:val="none" w:sz="0" w:space="0" w:color="auto"/>
                <w:left w:val="none" w:sz="0" w:space="0" w:color="auto"/>
                <w:bottom w:val="none" w:sz="0" w:space="0" w:color="auto"/>
                <w:right w:val="none" w:sz="0" w:space="0" w:color="auto"/>
              </w:divBdr>
              <w:divsChild>
                <w:div w:id="602304527">
                  <w:marLeft w:val="0"/>
                  <w:marRight w:val="0"/>
                  <w:marTop w:val="0"/>
                  <w:marBottom w:val="0"/>
                  <w:divBdr>
                    <w:top w:val="none" w:sz="0" w:space="0" w:color="auto"/>
                    <w:left w:val="none" w:sz="0" w:space="0" w:color="auto"/>
                    <w:bottom w:val="none" w:sz="0" w:space="0" w:color="auto"/>
                    <w:right w:val="none" w:sz="0" w:space="0" w:color="auto"/>
                  </w:divBdr>
                </w:div>
              </w:divsChild>
            </w:div>
            <w:div w:id="1101755243">
              <w:marLeft w:val="0"/>
              <w:marRight w:val="0"/>
              <w:marTop w:val="0"/>
              <w:marBottom w:val="120"/>
              <w:divBdr>
                <w:top w:val="none" w:sz="0" w:space="0" w:color="auto"/>
                <w:left w:val="none" w:sz="0" w:space="0" w:color="auto"/>
                <w:bottom w:val="none" w:sz="0" w:space="0" w:color="auto"/>
                <w:right w:val="none" w:sz="0" w:space="0" w:color="auto"/>
              </w:divBdr>
              <w:divsChild>
                <w:div w:id="1470900792">
                  <w:marLeft w:val="0"/>
                  <w:marRight w:val="0"/>
                  <w:marTop w:val="0"/>
                  <w:marBottom w:val="120"/>
                  <w:divBdr>
                    <w:top w:val="none" w:sz="0" w:space="0" w:color="auto"/>
                    <w:left w:val="none" w:sz="0" w:space="0" w:color="auto"/>
                    <w:bottom w:val="none" w:sz="0" w:space="0" w:color="auto"/>
                    <w:right w:val="none" w:sz="0" w:space="0" w:color="auto"/>
                  </w:divBdr>
                  <w:divsChild>
                    <w:div w:id="1730306300">
                      <w:marLeft w:val="0"/>
                      <w:marRight w:val="0"/>
                      <w:marTop w:val="0"/>
                      <w:marBottom w:val="120"/>
                      <w:divBdr>
                        <w:top w:val="none" w:sz="0" w:space="0" w:color="auto"/>
                        <w:left w:val="none" w:sz="0" w:space="0" w:color="auto"/>
                        <w:bottom w:val="none" w:sz="0" w:space="0" w:color="auto"/>
                        <w:right w:val="none" w:sz="0" w:space="0" w:color="auto"/>
                      </w:divBdr>
                    </w:div>
                    <w:div w:id="582572307">
                      <w:marLeft w:val="0"/>
                      <w:marRight w:val="0"/>
                      <w:marTop w:val="0"/>
                      <w:marBottom w:val="120"/>
                      <w:divBdr>
                        <w:top w:val="none" w:sz="0" w:space="0" w:color="auto"/>
                        <w:left w:val="none" w:sz="0" w:space="0" w:color="auto"/>
                        <w:bottom w:val="none" w:sz="0" w:space="0" w:color="auto"/>
                        <w:right w:val="none" w:sz="0" w:space="0" w:color="auto"/>
                      </w:divBdr>
                      <w:divsChild>
                        <w:div w:id="1480028776">
                          <w:marLeft w:val="0"/>
                          <w:marRight w:val="0"/>
                          <w:marTop w:val="0"/>
                          <w:marBottom w:val="120"/>
                          <w:divBdr>
                            <w:top w:val="none" w:sz="0" w:space="0" w:color="auto"/>
                            <w:left w:val="none" w:sz="0" w:space="0" w:color="auto"/>
                            <w:bottom w:val="none" w:sz="0" w:space="0" w:color="auto"/>
                            <w:right w:val="none" w:sz="0" w:space="0" w:color="auto"/>
                          </w:divBdr>
                        </w:div>
                        <w:div w:id="874200464">
                          <w:marLeft w:val="0"/>
                          <w:marRight w:val="0"/>
                          <w:marTop w:val="0"/>
                          <w:marBottom w:val="120"/>
                          <w:divBdr>
                            <w:top w:val="none" w:sz="0" w:space="0" w:color="auto"/>
                            <w:left w:val="none" w:sz="0" w:space="0" w:color="auto"/>
                            <w:bottom w:val="none" w:sz="0" w:space="0" w:color="auto"/>
                            <w:right w:val="none" w:sz="0" w:space="0" w:color="auto"/>
                          </w:divBdr>
                        </w:div>
                        <w:div w:id="1171608068">
                          <w:marLeft w:val="0"/>
                          <w:marRight w:val="0"/>
                          <w:marTop w:val="0"/>
                          <w:marBottom w:val="120"/>
                          <w:divBdr>
                            <w:top w:val="none" w:sz="0" w:space="0" w:color="auto"/>
                            <w:left w:val="none" w:sz="0" w:space="0" w:color="auto"/>
                            <w:bottom w:val="none" w:sz="0" w:space="0" w:color="auto"/>
                            <w:right w:val="none" w:sz="0" w:space="0" w:color="auto"/>
                          </w:divBdr>
                        </w:div>
                        <w:div w:id="118888541">
                          <w:marLeft w:val="0"/>
                          <w:marRight w:val="0"/>
                          <w:marTop w:val="0"/>
                          <w:marBottom w:val="120"/>
                          <w:divBdr>
                            <w:top w:val="none" w:sz="0" w:space="0" w:color="auto"/>
                            <w:left w:val="none" w:sz="0" w:space="0" w:color="auto"/>
                            <w:bottom w:val="none" w:sz="0" w:space="0" w:color="auto"/>
                            <w:right w:val="none" w:sz="0" w:space="0" w:color="auto"/>
                          </w:divBdr>
                        </w:div>
                        <w:div w:id="961767318">
                          <w:marLeft w:val="0"/>
                          <w:marRight w:val="0"/>
                          <w:marTop w:val="0"/>
                          <w:marBottom w:val="120"/>
                          <w:divBdr>
                            <w:top w:val="none" w:sz="0" w:space="0" w:color="auto"/>
                            <w:left w:val="none" w:sz="0" w:space="0" w:color="auto"/>
                            <w:bottom w:val="none" w:sz="0" w:space="0" w:color="auto"/>
                            <w:right w:val="none" w:sz="0" w:space="0" w:color="auto"/>
                          </w:divBdr>
                        </w:div>
                        <w:div w:id="179393413">
                          <w:marLeft w:val="0"/>
                          <w:marRight w:val="0"/>
                          <w:marTop w:val="0"/>
                          <w:marBottom w:val="120"/>
                          <w:divBdr>
                            <w:top w:val="none" w:sz="0" w:space="0" w:color="auto"/>
                            <w:left w:val="none" w:sz="0" w:space="0" w:color="auto"/>
                            <w:bottom w:val="none" w:sz="0" w:space="0" w:color="auto"/>
                            <w:right w:val="none" w:sz="0" w:space="0" w:color="auto"/>
                          </w:divBdr>
                        </w:div>
                        <w:div w:id="891620859">
                          <w:marLeft w:val="0"/>
                          <w:marRight w:val="0"/>
                          <w:marTop w:val="0"/>
                          <w:marBottom w:val="120"/>
                          <w:divBdr>
                            <w:top w:val="none" w:sz="0" w:space="0" w:color="auto"/>
                            <w:left w:val="none" w:sz="0" w:space="0" w:color="auto"/>
                            <w:bottom w:val="none" w:sz="0" w:space="0" w:color="auto"/>
                            <w:right w:val="none" w:sz="0" w:space="0" w:color="auto"/>
                          </w:divBdr>
                        </w:div>
                        <w:div w:id="1329556336">
                          <w:marLeft w:val="0"/>
                          <w:marRight w:val="0"/>
                          <w:marTop w:val="0"/>
                          <w:marBottom w:val="120"/>
                          <w:divBdr>
                            <w:top w:val="none" w:sz="0" w:space="0" w:color="auto"/>
                            <w:left w:val="none" w:sz="0" w:space="0" w:color="auto"/>
                            <w:bottom w:val="none" w:sz="0" w:space="0" w:color="auto"/>
                            <w:right w:val="none" w:sz="0" w:space="0" w:color="auto"/>
                          </w:divBdr>
                        </w:div>
                        <w:div w:id="1358390730">
                          <w:marLeft w:val="0"/>
                          <w:marRight w:val="0"/>
                          <w:marTop w:val="0"/>
                          <w:marBottom w:val="120"/>
                          <w:divBdr>
                            <w:top w:val="none" w:sz="0" w:space="0" w:color="auto"/>
                            <w:left w:val="none" w:sz="0" w:space="0" w:color="auto"/>
                            <w:bottom w:val="none" w:sz="0" w:space="0" w:color="auto"/>
                            <w:right w:val="none" w:sz="0" w:space="0" w:color="auto"/>
                          </w:divBdr>
                        </w:div>
                        <w:div w:id="735662200">
                          <w:marLeft w:val="0"/>
                          <w:marRight w:val="0"/>
                          <w:marTop w:val="0"/>
                          <w:marBottom w:val="120"/>
                          <w:divBdr>
                            <w:top w:val="none" w:sz="0" w:space="0" w:color="auto"/>
                            <w:left w:val="none" w:sz="0" w:space="0" w:color="auto"/>
                            <w:bottom w:val="none" w:sz="0" w:space="0" w:color="auto"/>
                            <w:right w:val="none" w:sz="0" w:space="0" w:color="auto"/>
                          </w:divBdr>
                        </w:div>
                        <w:div w:id="497964877">
                          <w:marLeft w:val="0"/>
                          <w:marRight w:val="0"/>
                          <w:marTop w:val="0"/>
                          <w:marBottom w:val="120"/>
                          <w:divBdr>
                            <w:top w:val="none" w:sz="0" w:space="0" w:color="auto"/>
                            <w:left w:val="none" w:sz="0" w:space="0" w:color="auto"/>
                            <w:bottom w:val="none" w:sz="0" w:space="0" w:color="auto"/>
                            <w:right w:val="none" w:sz="0" w:space="0" w:color="auto"/>
                          </w:divBdr>
                        </w:div>
                        <w:div w:id="1206479210">
                          <w:marLeft w:val="0"/>
                          <w:marRight w:val="0"/>
                          <w:marTop w:val="0"/>
                          <w:marBottom w:val="120"/>
                          <w:divBdr>
                            <w:top w:val="none" w:sz="0" w:space="0" w:color="auto"/>
                            <w:left w:val="none" w:sz="0" w:space="0" w:color="auto"/>
                            <w:bottom w:val="none" w:sz="0" w:space="0" w:color="auto"/>
                            <w:right w:val="none" w:sz="0" w:space="0" w:color="auto"/>
                          </w:divBdr>
                        </w:div>
                        <w:div w:id="799343082">
                          <w:marLeft w:val="0"/>
                          <w:marRight w:val="0"/>
                          <w:marTop w:val="0"/>
                          <w:marBottom w:val="120"/>
                          <w:divBdr>
                            <w:top w:val="none" w:sz="0" w:space="0" w:color="auto"/>
                            <w:left w:val="none" w:sz="0" w:space="0" w:color="auto"/>
                            <w:bottom w:val="none" w:sz="0" w:space="0" w:color="auto"/>
                            <w:right w:val="none" w:sz="0" w:space="0" w:color="auto"/>
                          </w:divBdr>
                        </w:div>
                        <w:div w:id="2130321223">
                          <w:marLeft w:val="0"/>
                          <w:marRight w:val="0"/>
                          <w:marTop w:val="0"/>
                          <w:marBottom w:val="120"/>
                          <w:divBdr>
                            <w:top w:val="none" w:sz="0" w:space="0" w:color="auto"/>
                            <w:left w:val="none" w:sz="0" w:space="0" w:color="auto"/>
                            <w:bottom w:val="none" w:sz="0" w:space="0" w:color="auto"/>
                            <w:right w:val="none" w:sz="0" w:space="0" w:color="auto"/>
                          </w:divBdr>
                        </w:div>
                        <w:div w:id="17402453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avoro.wolterskluwer.it/normativa/10LX0000170357SOMM?pathId=59b0d1b75eb91" TargetMode="External"/><Relationship Id="rId3" Type="http://schemas.openxmlformats.org/officeDocument/2006/relationships/settings" Target="settings.xml"/><Relationship Id="rId7" Type="http://schemas.openxmlformats.org/officeDocument/2006/relationships/hyperlink" Target="https://onelavoro.wolterskluwer.it/normativa/10LX0000170357SOMM?pathId=59b0d1b75eb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lavoro.wolterskluwer.it/normativa/10LX0000170357SOMM?pathId=59b0d1b75eb91" TargetMode="External"/><Relationship Id="rId5" Type="http://schemas.openxmlformats.org/officeDocument/2006/relationships/hyperlink" Target="https://onelavoro.wolterskluwer.it/normativa/10LX0000778895ART64?pathId=59b0d1b75eb9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Pandolfo</dc:creator>
  <cp:keywords/>
  <dc:description/>
  <cp:lastModifiedBy>Stefano Pandolfo</cp:lastModifiedBy>
  <cp:revision>2</cp:revision>
  <dcterms:created xsi:type="dcterms:W3CDTF">2022-02-10T17:48:00Z</dcterms:created>
  <dcterms:modified xsi:type="dcterms:W3CDTF">2022-02-10T17:48:00Z</dcterms:modified>
</cp:coreProperties>
</file>