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07F4" w:rsidRPr="003C07F4" w:rsidRDefault="003C07F4" w:rsidP="003C07F4">
      <w:pPr>
        <w:rPr>
          <w:b/>
          <w:bCs/>
        </w:rPr>
      </w:pPr>
      <w:r w:rsidRPr="003C07F4">
        <w:rPr>
          <w:b/>
          <w:bCs/>
        </w:rPr>
        <w:t>LEGGE DI BILANCIO 2018</w:t>
      </w:r>
    </w:p>
    <w:p w:rsidR="003C07F4" w:rsidRPr="003C07F4" w:rsidRDefault="003C07F4" w:rsidP="003C07F4">
      <w:pPr>
        <w:rPr>
          <w:b/>
          <w:bCs/>
        </w:rPr>
      </w:pPr>
      <w:r w:rsidRPr="003C07F4">
        <w:rPr>
          <w:b/>
          <w:bCs/>
          <w:i/>
          <w:iCs/>
        </w:rPr>
        <w:t>Bilancio di previsione dello Stato per l’anno finanziario 2018 e bilancio pluriennale per il triennio 2018-2020 (disegno di legge)</w:t>
      </w:r>
    </w:p>
    <w:p w:rsidR="003C07F4" w:rsidRPr="003C07F4" w:rsidRDefault="003C07F4" w:rsidP="003C07F4">
      <w:pPr>
        <w:jc w:val="both"/>
      </w:pPr>
      <w:r w:rsidRPr="003C07F4">
        <w:t xml:space="preserve">Il Consiglio dei ministri, su proposta del Presidente Paolo </w:t>
      </w:r>
      <w:proofErr w:type="spellStart"/>
      <w:r w:rsidRPr="003C07F4">
        <w:t>Gentiloni</w:t>
      </w:r>
      <w:proofErr w:type="spellEnd"/>
      <w:r w:rsidRPr="003C07F4">
        <w:t xml:space="preserve"> e del Ministro dell’economia e delle finanze Pier Carlo </w:t>
      </w:r>
      <w:proofErr w:type="spellStart"/>
      <w:r w:rsidRPr="003C07F4">
        <w:t>Padoan</w:t>
      </w:r>
      <w:proofErr w:type="spellEnd"/>
      <w:r w:rsidRPr="003C07F4">
        <w:t>, ha approvato il disegno di legge relativo al bilancio di previsione dello Stato per l’anno finanziario 2018 e al bilancio pluriennale per il triennio 2018-2020.</w:t>
      </w:r>
    </w:p>
    <w:p w:rsidR="003C07F4" w:rsidRPr="003C07F4" w:rsidRDefault="003C07F4" w:rsidP="003C07F4">
      <w:pPr>
        <w:jc w:val="both"/>
      </w:pPr>
      <w:r w:rsidRPr="003C07F4">
        <w:t xml:space="preserve">In considerazione del miglioramento del quadro economico, ottenuto grazie alle riforme avviate dal 2014 e portate a compimento nell’arco della legislatura e all’impegno di famiglie e imprese, e del contesto internazionale favorevole, il Governo ha approvato una manovra indirizzata da un lato al rispetto degli impegni di bilancio presi con la Commissione europea – la correzione del disavanzo strutturale dello 0,3% e il calo del deficit in rapporto al </w:t>
      </w:r>
      <w:proofErr w:type="spellStart"/>
      <w:r w:rsidRPr="003C07F4">
        <w:t>Pil</w:t>
      </w:r>
      <w:proofErr w:type="spellEnd"/>
      <w:r w:rsidRPr="003C07F4">
        <w:t xml:space="preserve"> all’1,6% – e dall’altro al rafforzamento di una crescita sostenibile e inclusiva, con la mobilitazione di risorse per il 2018 per circa 20,4 miliardi di euro.</w:t>
      </w:r>
    </w:p>
    <w:p w:rsidR="003C07F4" w:rsidRPr="003C07F4" w:rsidRDefault="003C07F4" w:rsidP="003C07F4">
      <w:pPr>
        <w:jc w:val="both"/>
      </w:pPr>
      <w:r w:rsidRPr="003C07F4">
        <w:t xml:space="preserve">Le coperture, in termini di </w:t>
      </w:r>
      <w:proofErr w:type="spellStart"/>
      <w:r w:rsidRPr="003C07F4">
        <w:t>efficientamento</w:t>
      </w:r>
      <w:proofErr w:type="spellEnd"/>
      <w:r w:rsidRPr="003C07F4">
        <w:t xml:space="preserve"> di spesa e maggiori entrate derivanti in gran parte dal </w:t>
      </w:r>
      <w:proofErr w:type="gramStart"/>
      <w:r w:rsidRPr="003C07F4">
        <w:t>contrasto  all’evasione</w:t>
      </w:r>
      <w:proofErr w:type="gramEnd"/>
      <w:r w:rsidRPr="003C07F4">
        <w:t>, ammontano a circa 9,5 miliardi, mentre 10,9 miliardi rappresentano l’effetto netto espansivo della manovra, che interesserà in particolare le aree meno avanzate del Paese.</w:t>
      </w:r>
    </w:p>
    <w:p w:rsidR="003C07F4" w:rsidRPr="003C07F4" w:rsidRDefault="003C07F4" w:rsidP="003C07F4">
      <w:pPr>
        <w:jc w:val="both"/>
      </w:pPr>
      <w:r w:rsidRPr="003C07F4">
        <w:t>Tra le voci principali della manovra, si conferma la sterilizzazione totale delle clausole di salvaguardia per un totale di 15,7 miliardi. Si eviterà quindi per il 2018 l’aumento delle aliquote Iva e delle accise. Gli altri interventi prevedono per il prossimo anno 300 milioni di investimenti pubblici aggiuntivi, che diventano 1,3 miliardi nel 2019 e 1,9 miliardi nel 2020. Per le politiche a favore dei giovani (essenzialmente la riduzione del cuneo fiscale per le nuove assunzioni con i contratti a tutele crescenti) sono previsti circa 300 milioni che salgono a 800 milioni nel 2019 e 1,2 miliardi nel 2020. Un’attenzione particolare è riservata alle misure di lotta alla povertà, con il reddito di inclusione che viene potenziato di complessivi 300 milioni per il 2018, cifra che si aggiunge agli 1,7 miliardi già previsti a legislazione vigente.</w:t>
      </w:r>
    </w:p>
    <w:p w:rsidR="003C07F4" w:rsidRPr="003C07F4" w:rsidRDefault="003C07F4" w:rsidP="003C07F4">
      <w:pPr>
        <w:jc w:val="both"/>
      </w:pPr>
      <w:r w:rsidRPr="003C07F4">
        <w:t>Si potenzia, infine, il contrasto all’evasione fiscale, con l’implementazione di misure già sperimentate, come la fatturazione elettronica e lo </w:t>
      </w:r>
      <w:r w:rsidRPr="003C07F4">
        <w:rPr>
          <w:i/>
          <w:iCs/>
        </w:rPr>
        <w:t xml:space="preserve">split </w:t>
      </w:r>
      <w:proofErr w:type="spellStart"/>
      <w:r w:rsidRPr="003C07F4">
        <w:rPr>
          <w:i/>
          <w:iCs/>
        </w:rPr>
        <w:t>payment</w:t>
      </w:r>
      <w:proofErr w:type="spellEnd"/>
      <w:r w:rsidRPr="003C07F4">
        <w:t> (la cui estensione è prevista del decreto fiscale già approvato dal Consiglio dei ministri).</w:t>
      </w:r>
    </w:p>
    <w:p w:rsidR="003C07F4" w:rsidRPr="003C07F4" w:rsidRDefault="003C07F4" w:rsidP="003C07F4">
      <w:pPr>
        <w:jc w:val="both"/>
      </w:pPr>
      <w:r w:rsidRPr="003C07F4">
        <w:t>Di seguito alcune tra le misure presenti nella manovra.</w:t>
      </w:r>
    </w:p>
    <w:p w:rsidR="003C07F4" w:rsidRPr="003C07F4" w:rsidRDefault="003C07F4" w:rsidP="003C07F4">
      <w:pPr>
        <w:numPr>
          <w:ilvl w:val="0"/>
          <w:numId w:val="1"/>
        </w:numPr>
        <w:jc w:val="both"/>
      </w:pPr>
      <w:r w:rsidRPr="003C07F4">
        <w:rPr>
          <w:b/>
          <w:bCs/>
        </w:rPr>
        <w:t xml:space="preserve">Stop aumento </w:t>
      </w:r>
      <w:proofErr w:type="gramStart"/>
      <w:r w:rsidRPr="003C07F4">
        <w:rPr>
          <w:b/>
          <w:bCs/>
        </w:rPr>
        <w:t>Iva  e</w:t>
      </w:r>
      <w:proofErr w:type="gramEnd"/>
      <w:r w:rsidRPr="003C07F4">
        <w:rPr>
          <w:b/>
          <w:bCs/>
        </w:rPr>
        <w:t xml:space="preserve"> accise </w:t>
      </w:r>
      <w:r w:rsidRPr="003C07F4">
        <w:t>– Vengono completamente neutralizzate le clausole di salvaguardia, quindi nel 2018 non ci saranno aumenti delle aliquote dell’Iva e delle accise.</w:t>
      </w:r>
    </w:p>
    <w:p w:rsidR="003C07F4" w:rsidRPr="003C07F4" w:rsidRDefault="003C07F4" w:rsidP="003C07F4">
      <w:pPr>
        <w:numPr>
          <w:ilvl w:val="0"/>
          <w:numId w:val="1"/>
        </w:numPr>
        <w:jc w:val="both"/>
      </w:pPr>
      <w:r w:rsidRPr="003C07F4">
        <w:rPr>
          <w:b/>
          <w:bCs/>
        </w:rPr>
        <w:t>Blocco tributi e addizionali locali </w:t>
      </w:r>
      <w:r w:rsidRPr="003C07F4">
        <w:t>– Si proroga per il 2018 lo stop all’aumento delle aliquote dei tributi e delle addizionali regionali e degli enti locali.</w:t>
      </w:r>
    </w:p>
    <w:p w:rsidR="003C07F4" w:rsidRPr="003C07F4" w:rsidRDefault="003C07F4" w:rsidP="003C07F4">
      <w:pPr>
        <w:numPr>
          <w:ilvl w:val="0"/>
          <w:numId w:val="1"/>
        </w:numPr>
        <w:jc w:val="both"/>
      </w:pPr>
      <w:r w:rsidRPr="003C07F4">
        <w:rPr>
          <w:b/>
          <w:bCs/>
        </w:rPr>
        <w:t>Competitività </w:t>
      </w:r>
      <w:r w:rsidRPr="003C07F4">
        <w:t xml:space="preserve">– Sono confermate molte misure di contenimento della pressione fiscale e sviluppo, già contenute nella precedente legge di bilancio, quali le agevolazioni per gli interventi di ristrutturazione edilizia ed energetica, il </w:t>
      </w:r>
      <w:proofErr w:type="spellStart"/>
      <w:r w:rsidRPr="003C07F4">
        <w:t>superammortamento</w:t>
      </w:r>
      <w:proofErr w:type="spellEnd"/>
      <w:r w:rsidRPr="003C07F4">
        <w:t xml:space="preserve"> e l’</w:t>
      </w:r>
      <w:proofErr w:type="spellStart"/>
      <w:r w:rsidRPr="003C07F4">
        <w:t>iperammortamento</w:t>
      </w:r>
      <w:proofErr w:type="spellEnd"/>
      <w:r w:rsidRPr="003C07F4">
        <w:t>.</w:t>
      </w:r>
    </w:p>
    <w:p w:rsidR="003C07F4" w:rsidRPr="003C07F4" w:rsidRDefault="003C07F4" w:rsidP="003C07F4">
      <w:pPr>
        <w:numPr>
          <w:ilvl w:val="0"/>
          <w:numId w:val="1"/>
        </w:numPr>
        <w:jc w:val="both"/>
      </w:pPr>
      <w:r w:rsidRPr="003C07F4">
        <w:rPr>
          <w:b/>
          <w:bCs/>
        </w:rPr>
        <w:t xml:space="preserve">Sostegno investimenti </w:t>
      </w:r>
      <w:proofErr w:type="spellStart"/>
      <w:r w:rsidRPr="003C07F4">
        <w:rPr>
          <w:b/>
          <w:bCs/>
        </w:rPr>
        <w:t>Pmi</w:t>
      </w:r>
      <w:proofErr w:type="spellEnd"/>
      <w:r w:rsidRPr="003C07F4">
        <w:rPr>
          <w:b/>
          <w:bCs/>
        </w:rPr>
        <w:t xml:space="preserve"> (Nuova Sabatini)</w:t>
      </w:r>
      <w:r w:rsidRPr="003C07F4">
        <w:t> – Per assicurare continuità operativa e qualificare maggiormente gli investimenti in chiave “Industria 4.0.” è prorogata la misura di promozione delle piccole e medie imprese nota come “Nuova Sabatini”.</w:t>
      </w:r>
    </w:p>
    <w:p w:rsidR="003C07F4" w:rsidRPr="003C07F4" w:rsidRDefault="003C07F4" w:rsidP="003C07F4">
      <w:pPr>
        <w:numPr>
          <w:ilvl w:val="0"/>
          <w:numId w:val="1"/>
        </w:numPr>
        <w:jc w:val="both"/>
      </w:pPr>
      <w:r w:rsidRPr="003C07F4">
        <w:rPr>
          <w:b/>
          <w:bCs/>
        </w:rPr>
        <w:t>Incentivo strutturale per l’occupazione giovanile stabile</w:t>
      </w:r>
      <w:r w:rsidRPr="003C07F4">
        <w:t> – A decorrere dal primo gennaio 2018 i datori di lavoro del settore privato che assumono giovani con contratti a tutele crescenti beneficeranno di uno sconto triennale sui contributi previdenziali pari al 50% (esclusi i lavoratori domestici). L’esonero spetta anche per le assunzioni avvenute nei mesi di novembre e dicembre 2017, ferma restando la decorrenza dal primo gennaio 2018.  Lo sconto contributivo si applica anche nei casi di prosecuzione di un contratto di apprendistato in contratto a tempo indeterminato, qualunque sia l’età anagrafica al momento della prosecuzione e quando un datore di lavoro assume, entro sei mesi dal conseguimento del titolo di studio, studenti che abbiano svolto percorsi di alternanza scuola-lavoro o di apprendistato per il conseguimento del titolo di studio.</w:t>
      </w:r>
    </w:p>
    <w:p w:rsidR="003C07F4" w:rsidRPr="003C07F4" w:rsidRDefault="003C07F4" w:rsidP="003C07F4">
      <w:pPr>
        <w:numPr>
          <w:ilvl w:val="0"/>
          <w:numId w:val="1"/>
        </w:numPr>
        <w:jc w:val="both"/>
      </w:pPr>
      <w:r w:rsidRPr="003C07F4">
        <w:rPr>
          <w:b/>
          <w:bCs/>
        </w:rPr>
        <w:lastRenderedPageBreak/>
        <w:t>Rinnovo contratti pubblico impiego </w:t>
      </w:r>
      <w:r w:rsidRPr="003C07F4">
        <w:t>– Sono stanziate le risorse per avviare il rinnovo, dopo molti anni, dei contratti del pubblico impiego.</w:t>
      </w:r>
    </w:p>
    <w:p w:rsidR="003C07F4" w:rsidRPr="003C07F4" w:rsidRDefault="003C07F4" w:rsidP="003C07F4">
      <w:pPr>
        <w:numPr>
          <w:ilvl w:val="0"/>
          <w:numId w:val="1"/>
        </w:numPr>
        <w:jc w:val="both"/>
      </w:pPr>
      <w:r w:rsidRPr="003C07F4">
        <w:rPr>
          <w:b/>
          <w:bCs/>
        </w:rPr>
        <w:t>Ape sociale donna – </w:t>
      </w:r>
      <w:r w:rsidRPr="003C07F4">
        <w:t>La misura, introdotta in via sperimentale con la legge di bilancio per il 2017, per le donne, in determinate condizioni, con almeno 63 anni di età e che non siano titolari di pensione diretta, permette di accompagnare con una indennità fino al raggiungimento dei requisiti per la pensione di vecchiaia. Con la nuova norma introdotta dal disegno di legge di bilancio per il 2018 si prevede di ampliare per il prossimo anno la platea dei beneficiari riducendo i requisiti contributivi alle donne con figli. La riduzione è pari a 6 mesi per ogni figlio fino ad un massimo di 2 anni.</w:t>
      </w:r>
    </w:p>
    <w:p w:rsidR="003C07F4" w:rsidRPr="003C07F4" w:rsidRDefault="003C07F4" w:rsidP="003C07F4">
      <w:pPr>
        <w:numPr>
          <w:ilvl w:val="0"/>
          <w:numId w:val="1"/>
        </w:numPr>
        <w:jc w:val="both"/>
      </w:pPr>
      <w:r w:rsidRPr="003C07F4">
        <w:rPr>
          <w:b/>
          <w:bCs/>
        </w:rPr>
        <w:t>Ape a tempo determinato</w:t>
      </w:r>
      <w:r w:rsidRPr="003C07F4">
        <w:t> – Si amplia per il 2018 la platea dei beneficiari, estendendo l’indennità anche in caso di scadenza di un contratto a tempo determinato, a condizione che il lavoratore, nei 3 anni precedenti la cessazione del rapporto, abbia avuto periodi di lavoro dipendente per almeno 18 mesi.</w:t>
      </w:r>
    </w:p>
    <w:p w:rsidR="003C07F4" w:rsidRPr="003C07F4" w:rsidRDefault="003C07F4" w:rsidP="003C07F4">
      <w:pPr>
        <w:numPr>
          <w:ilvl w:val="0"/>
          <w:numId w:val="1"/>
        </w:numPr>
        <w:jc w:val="both"/>
      </w:pPr>
      <w:r w:rsidRPr="003C07F4">
        <w:rPr>
          <w:b/>
          <w:bCs/>
        </w:rPr>
        <w:t>Rita </w:t>
      </w:r>
      <w:r w:rsidRPr="003C07F4">
        <w:t>– E’ stabilizzata e semplificata la “Rendita integrativa temporanea anticipata”.</w:t>
      </w:r>
    </w:p>
    <w:p w:rsidR="003C07F4" w:rsidRPr="003C07F4" w:rsidRDefault="003C07F4" w:rsidP="003C07F4">
      <w:pPr>
        <w:numPr>
          <w:ilvl w:val="0"/>
          <w:numId w:val="1"/>
        </w:numPr>
        <w:jc w:val="both"/>
      </w:pPr>
      <w:r w:rsidRPr="003C07F4">
        <w:rPr>
          <w:b/>
          <w:bCs/>
        </w:rPr>
        <w:t>Bonus cultura per i diciottenni</w:t>
      </w:r>
      <w:r w:rsidRPr="003C07F4">
        <w:t> – Viene confermata la misura introdotta nel 2016. I giovani che compiono 18 anni nel 2018, attraverso apposita piattaforma online, hanno a disposizione 500 euro spendibili per l’acquisto di biglietti del teatro o del cinema, l’acquisto di libri e musica registrata, per l’ingresso ai musei.</w:t>
      </w:r>
    </w:p>
    <w:p w:rsidR="003C07F4" w:rsidRPr="003C07F4" w:rsidRDefault="003C07F4" w:rsidP="003C07F4">
      <w:pPr>
        <w:numPr>
          <w:ilvl w:val="0"/>
          <w:numId w:val="1"/>
        </w:numPr>
        <w:jc w:val="both"/>
      </w:pPr>
      <w:r w:rsidRPr="003C07F4">
        <w:rPr>
          <w:b/>
          <w:bCs/>
        </w:rPr>
        <w:t xml:space="preserve">Pacchetto </w:t>
      </w:r>
      <w:proofErr w:type="spellStart"/>
      <w:r w:rsidRPr="003C07F4">
        <w:rPr>
          <w:b/>
          <w:bCs/>
        </w:rPr>
        <w:t>Miur</w:t>
      </w:r>
      <w:proofErr w:type="spellEnd"/>
      <w:r w:rsidRPr="003C07F4">
        <w:rPr>
          <w:b/>
          <w:bCs/>
        </w:rPr>
        <w:t> </w:t>
      </w:r>
      <w:r w:rsidRPr="003C07F4">
        <w:t>– Per l’università, vi sono misure che consentono di bandire nuovi posti per ricercatori universitari e a favore dei professori in servizio sono sbloccati gli scatti stipendiali che continuano ad essere corrisposti sulla base della previa verifica della produttività scientifica; invece, sul versante della scuola, la legge di bilancio inizia ad affrontare il tema dell’avvicinamento del trattamento retributivo dei dirigenti scolastici a quello degli altri dirigenti statali.</w:t>
      </w:r>
    </w:p>
    <w:p w:rsidR="003C07F4" w:rsidRPr="003C07F4" w:rsidRDefault="003C07F4" w:rsidP="003C07F4">
      <w:pPr>
        <w:numPr>
          <w:ilvl w:val="0"/>
          <w:numId w:val="1"/>
        </w:numPr>
        <w:jc w:val="both"/>
      </w:pPr>
      <w:r w:rsidRPr="003C07F4">
        <w:rPr>
          <w:b/>
          <w:bCs/>
        </w:rPr>
        <w:t>Risorse per Province e Città metropolitane –</w:t>
      </w:r>
      <w:r w:rsidRPr="003C07F4">
        <w:t> Viene riconosciuto un contributo alle Province e alle Città metropolitane delle Regioni a statuto ordinario per l’esercizio delle funzioni fondamentali in materia di scuole e strade.</w:t>
      </w:r>
    </w:p>
    <w:p w:rsidR="003C07F4" w:rsidRPr="003C07F4" w:rsidRDefault="003C07F4" w:rsidP="003C07F4">
      <w:pPr>
        <w:numPr>
          <w:ilvl w:val="0"/>
          <w:numId w:val="1"/>
        </w:numPr>
        <w:jc w:val="both"/>
      </w:pPr>
      <w:r w:rsidRPr="003C07F4">
        <w:rPr>
          <w:b/>
          <w:bCs/>
        </w:rPr>
        <w:t>Investimenti enti locali – </w:t>
      </w:r>
      <w:r w:rsidRPr="003C07F4">
        <w:t>Per sostenere gli investimenti degli enti locali sono previsti spazi finanziari, per gli anni 2018-2023, che consentono l’utilizzo dell’avanzo di amministrazione Si riconoscono, inoltre, ai comuni contributi, per il triennio 2018-2020, per rilanciare gli investimenti in opere pubbliche.</w:t>
      </w:r>
    </w:p>
    <w:p w:rsidR="003C07F4" w:rsidRPr="003C07F4" w:rsidRDefault="003C07F4" w:rsidP="003C07F4">
      <w:pPr>
        <w:numPr>
          <w:ilvl w:val="0"/>
          <w:numId w:val="1"/>
        </w:numPr>
        <w:jc w:val="both"/>
      </w:pPr>
      <w:r w:rsidRPr="003C07F4">
        <w:rPr>
          <w:b/>
          <w:bCs/>
        </w:rPr>
        <w:t>Rimborsi ai comuni per minor gettito</w:t>
      </w:r>
      <w:r w:rsidRPr="003C07F4">
        <w:t> – Sono assegnate risorse per l’anno 2018 in favore dei comuni penalizzati dalla sostituzione dell’IMU sull’abitazione principale con la TASI su tutti gli immobili.</w:t>
      </w:r>
    </w:p>
    <w:p w:rsidR="003C07F4" w:rsidRPr="003C07F4" w:rsidRDefault="003C07F4" w:rsidP="003C07F4">
      <w:pPr>
        <w:numPr>
          <w:ilvl w:val="0"/>
          <w:numId w:val="1"/>
        </w:numPr>
        <w:jc w:val="both"/>
      </w:pPr>
      <w:r w:rsidRPr="003C07F4">
        <w:rPr>
          <w:b/>
          <w:bCs/>
        </w:rPr>
        <w:t>Risorse in favore delle regioni</w:t>
      </w:r>
      <w:r w:rsidRPr="003C07F4">
        <w:t xml:space="preserve"> – Sono stanziate per l’anno </w:t>
      </w:r>
      <w:proofErr w:type="gramStart"/>
      <w:r w:rsidRPr="003C07F4">
        <w:t>2018  risorse</w:t>
      </w:r>
      <w:proofErr w:type="gramEnd"/>
      <w:r w:rsidRPr="003C07F4">
        <w:t xml:space="preserve"> in favore delle regioni per la riduzione del debito e per la riduzione della manovra a loro carico. Inoltre, sono previste anticipazioni di liquidità per la copertura del disavanzo sanitario 2016 della Regione Sardegna.</w:t>
      </w:r>
    </w:p>
    <w:p w:rsidR="003C07F4" w:rsidRPr="003C07F4" w:rsidRDefault="003C07F4" w:rsidP="003C07F4">
      <w:pPr>
        <w:numPr>
          <w:ilvl w:val="0"/>
          <w:numId w:val="1"/>
        </w:numPr>
        <w:jc w:val="both"/>
      </w:pPr>
      <w:r w:rsidRPr="003C07F4">
        <w:rPr>
          <w:b/>
          <w:bCs/>
        </w:rPr>
        <w:t>Banda larga</w:t>
      </w:r>
      <w:r w:rsidRPr="003C07F4">
        <w:t> – Per accelerare la politica di implementazione del 5G, si prevede di mettere a gara lo spettro delle frequenze nelle bande pioniere previste dall’Action Plan della Commissione Europea e si dispone la liberazione della banda 700 MHz.</w:t>
      </w:r>
    </w:p>
    <w:p w:rsidR="003C07F4" w:rsidRPr="003C07F4" w:rsidRDefault="003C07F4" w:rsidP="003C07F4">
      <w:pPr>
        <w:numPr>
          <w:ilvl w:val="0"/>
          <w:numId w:val="1"/>
        </w:numPr>
        <w:jc w:val="both"/>
      </w:pPr>
      <w:r w:rsidRPr="003C07F4">
        <w:rPr>
          <w:b/>
          <w:bCs/>
        </w:rPr>
        <w:t>Misure per il Mezzogiorno – </w:t>
      </w:r>
      <w:r w:rsidRPr="003C07F4">
        <w:t>Viene rifinanziata per il biennio 2018-2019 la misura che prevede l’ampliamento del credito di imposta per acquisto di bene strumentali nuovi destinati a strutture produttive del Sud. Vengono prorogate le agevolazioni per le assunzioni a tempo indeterminato nel Mezzogiorno, agevolazioni complementari a quelle già previste dalla normativa nazionale. Tra gli altri interventi figurano l’incremento delle risorse del Fondo sviluppo e coesione rifinanziando la programmazione 2014-2020 e l’istituzione del Fondo imprese Sud volto alla crescita dimensionale delle piccole e medie imprese.</w:t>
      </w:r>
    </w:p>
    <w:p w:rsidR="003C07F4" w:rsidRPr="003C07F4" w:rsidRDefault="003C07F4" w:rsidP="003C07F4">
      <w:pPr>
        <w:numPr>
          <w:ilvl w:val="0"/>
          <w:numId w:val="1"/>
        </w:numPr>
        <w:jc w:val="both"/>
      </w:pPr>
      <w:r w:rsidRPr="003C07F4">
        <w:rPr>
          <w:b/>
          <w:bCs/>
        </w:rPr>
        <w:lastRenderedPageBreak/>
        <w:t>Sport</w:t>
      </w:r>
      <w:r w:rsidRPr="003C07F4">
        <w:t> – Per la prima volta, si prevede un ‘pacchetto’ di misure dedicate esclusivamente allo sport, tra le quali l’istituzione di un fondo </w:t>
      </w:r>
      <w:r w:rsidRPr="003C07F4">
        <w:rPr>
          <w:i/>
          <w:iCs/>
        </w:rPr>
        <w:t>ad hoc</w:t>
      </w:r>
      <w:r w:rsidRPr="003C07F4">
        <w:t> destinato a tutelare la maternità delle atlete e misure di incentivazione di natura fiscale.</w:t>
      </w:r>
    </w:p>
    <w:p w:rsidR="003C07F4" w:rsidRPr="003C07F4" w:rsidRDefault="003C07F4" w:rsidP="003C07F4">
      <w:pPr>
        <w:jc w:val="both"/>
        <w:rPr>
          <w:b/>
          <w:bCs/>
        </w:rPr>
      </w:pPr>
      <w:r w:rsidRPr="003C07F4">
        <w:rPr>
          <w:b/>
          <w:bCs/>
        </w:rPr>
        <w:t>GOLDEN POWER</w:t>
      </w:r>
    </w:p>
    <w:p w:rsidR="003C07F4" w:rsidRPr="003C07F4" w:rsidRDefault="003C07F4" w:rsidP="003C07F4">
      <w:pPr>
        <w:jc w:val="both"/>
      </w:pPr>
      <w:r w:rsidRPr="003C07F4">
        <w:t xml:space="preserve">Il Consiglio dei ministri, su proposta della Ministra della difesa Roberta Pinotti e del Ministro dell’interno Marco </w:t>
      </w:r>
      <w:proofErr w:type="spellStart"/>
      <w:r w:rsidRPr="003C07F4">
        <w:t>Minniti</w:t>
      </w:r>
      <w:proofErr w:type="spellEnd"/>
      <w:r w:rsidRPr="003C07F4">
        <w:t xml:space="preserve">, ha deliberato l’adozione del decreto del Presidente del Consiglio dei ministri di esercizio dei poteri speciali di cui all’articolo 1 del decreto legge 15 marzo 2012, n.21, in relazione all’operazione concernente l’acquisizione da parte di Vivendi S.A. di partecipazioni in TIM </w:t>
      </w:r>
      <w:proofErr w:type="spellStart"/>
      <w:r w:rsidRPr="003C07F4">
        <w:t>s.p.a.</w:t>
      </w:r>
      <w:proofErr w:type="spellEnd"/>
      <w:r w:rsidRPr="003C07F4">
        <w:t xml:space="preserve"> che hanno portato la stessa a detenere azioni in misura superiore alle soglie indicate dall’articolo 1, comma 5, del decreto legge 15 marzo </w:t>
      </w:r>
      <w:bookmarkStart w:id="0" w:name="_GoBack"/>
      <w:r w:rsidRPr="003C07F4">
        <w:t>2012, n. 21.</w:t>
      </w:r>
    </w:p>
    <w:bookmarkEnd w:id="0"/>
    <w:p w:rsidR="003C07F4" w:rsidRPr="003C07F4" w:rsidRDefault="003C07F4" w:rsidP="003C07F4">
      <w:pPr>
        <w:jc w:val="both"/>
      </w:pPr>
      <w:r w:rsidRPr="003C07F4">
        <w:t xml:space="preserve">Con il decreto sono state imposte specifiche prescrizioni e condizioni nei confronti di Vivendi S.A., in qualità di società notificante l’operazione, e di TIM S.p.a., Telecom Italia </w:t>
      </w:r>
      <w:proofErr w:type="spellStart"/>
      <w:r w:rsidRPr="003C07F4">
        <w:t>Sparkle</w:t>
      </w:r>
      <w:proofErr w:type="spellEnd"/>
      <w:r w:rsidRPr="003C07F4">
        <w:t xml:space="preserve"> S.p.a. e </w:t>
      </w:r>
      <w:proofErr w:type="spellStart"/>
      <w:r w:rsidRPr="003C07F4">
        <w:t>Telsy</w:t>
      </w:r>
      <w:proofErr w:type="spellEnd"/>
      <w:r w:rsidRPr="003C07F4">
        <w:t xml:space="preserve"> Elettronica e Telecomunicazioni S.p.a., in qualità di società titolari delle attività di rilevanza strategica per la difesa e la sicurezza nazionale, in ragione degli effetti dell’operazione su tali attività.</w:t>
      </w:r>
    </w:p>
    <w:p w:rsidR="003C07F4" w:rsidRPr="003C07F4" w:rsidRDefault="003C07F4" w:rsidP="003C07F4">
      <w:pPr>
        <w:jc w:val="both"/>
      </w:pPr>
      <w:r w:rsidRPr="003C07F4">
        <w:t>Tra le prescrizioni di carattere generale, alcune riguardano il mantenimento stabile sul territorio nazionale delle funzioni di gestione e sicurezza delle reti e dei servizi e delle forniture che supportano attività “strategiche” e “strategiche chiave”, altre sono volte a garantire la continuità delle funzioni connesse alle attività di rilevanza strategica per il sistema di difesa e sicurezza nazionale.</w:t>
      </w:r>
    </w:p>
    <w:p w:rsidR="003C07F4" w:rsidRPr="003C07F4" w:rsidRDefault="003C07F4" w:rsidP="003C07F4">
      <w:pPr>
        <w:jc w:val="both"/>
      </w:pPr>
      <w:r w:rsidRPr="003C07F4">
        <w:t>Sono state inoltre previste condizioni volte ad assicurare assetti organizzativi dedicati alle attività aziendali rilevanti per la sicurezza nazionale, prevedendone la piena autonomia sia sotto il profilo economico-finanziario che di gestione del personale, attraverso l’assegnazione di una dotazione di risorse umane, finanziarie e strumentali idonee a garantire l’indipendenza della funzione.</w:t>
      </w:r>
    </w:p>
    <w:p w:rsidR="003C07F4" w:rsidRPr="003C07F4" w:rsidRDefault="003C07F4" w:rsidP="003C07F4">
      <w:pPr>
        <w:jc w:val="both"/>
      </w:pPr>
      <w:r w:rsidRPr="003C07F4">
        <w:t>In considerazione dell’entità della partecipazione detenuta dalla società notificante in TIM S.p.a., si è ritenuto anche necessario imporre specifiche prescrizioni in ordine alla </w:t>
      </w:r>
      <w:proofErr w:type="spellStart"/>
      <w:r w:rsidRPr="003C07F4">
        <w:rPr>
          <w:i/>
          <w:iCs/>
        </w:rPr>
        <w:t>governance</w:t>
      </w:r>
      <w:proofErr w:type="spellEnd"/>
      <w:r w:rsidRPr="003C07F4">
        <w:t> delle società, in particolare volte a garantire la presenza di un componente del Consiglio di amministrazione che sia munito di determinati requisiti e che abbia comunque l’assenso del Governo circa la sua idoneità all’incarico ai fini della tutela degli interessi essenziali della difesa e della sicurezza nazionale.</w:t>
      </w:r>
    </w:p>
    <w:p w:rsidR="003C07F4" w:rsidRPr="003C07F4" w:rsidRDefault="003C07F4" w:rsidP="003C07F4">
      <w:pPr>
        <w:jc w:val="both"/>
      </w:pPr>
      <w:r w:rsidRPr="003C07F4">
        <w:t xml:space="preserve">Per quanto attiene alle società Telecom Italia </w:t>
      </w:r>
      <w:proofErr w:type="spellStart"/>
      <w:r w:rsidRPr="003C07F4">
        <w:t>Sparkle</w:t>
      </w:r>
      <w:proofErr w:type="spellEnd"/>
      <w:r w:rsidRPr="003C07F4">
        <w:t xml:space="preserve"> S.p.a. e </w:t>
      </w:r>
      <w:proofErr w:type="spellStart"/>
      <w:r w:rsidRPr="003C07F4">
        <w:t>Telsy</w:t>
      </w:r>
      <w:proofErr w:type="spellEnd"/>
      <w:r w:rsidRPr="003C07F4">
        <w:t xml:space="preserve"> Elettronica e Comunicazioni S.p.a. sono state fornite prescrizioni specifiche.</w:t>
      </w:r>
    </w:p>
    <w:p w:rsidR="003C07F4" w:rsidRPr="003C07F4" w:rsidRDefault="003C07F4" w:rsidP="003C07F4">
      <w:pPr>
        <w:jc w:val="both"/>
      </w:pPr>
      <w:r w:rsidRPr="003C07F4">
        <w:t>Il decreto prevede, infine, una serie di misure di monitoraggio e controllo del rispetto delle prescrizioni e condizioni imposte.</w:t>
      </w:r>
    </w:p>
    <w:p w:rsidR="003C07F4" w:rsidRPr="003C07F4" w:rsidRDefault="003C07F4" w:rsidP="003C07F4">
      <w:pPr>
        <w:jc w:val="both"/>
      </w:pPr>
      <w:r w:rsidRPr="003C07F4">
        <w:t>*****</w:t>
      </w:r>
    </w:p>
    <w:p w:rsidR="003C07F4" w:rsidRPr="003C07F4" w:rsidRDefault="003C07F4" w:rsidP="003C07F4">
      <w:pPr>
        <w:jc w:val="both"/>
      </w:pPr>
      <w:r w:rsidRPr="003C07F4">
        <w:t>Il Consiglio dei ministri è terminato alle ore 15.13.</w:t>
      </w:r>
    </w:p>
    <w:p w:rsidR="002217CE" w:rsidRDefault="002217CE" w:rsidP="003C07F4">
      <w:pPr>
        <w:jc w:val="both"/>
      </w:pPr>
    </w:p>
    <w:sectPr w:rsidR="002217CE" w:rsidSect="003C07F4">
      <w:pgSz w:w="11906" w:h="16838"/>
      <w:pgMar w:top="709" w:right="1134"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FF5B36"/>
    <w:multiLevelType w:val="multilevel"/>
    <w:tmpl w:val="C906648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07F4"/>
    <w:rsid w:val="002217CE"/>
    <w:rsid w:val="003C07F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99DE79-1398-4930-978B-BDB402026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696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1635</Words>
  <Characters>9321</Characters>
  <Application>Microsoft Office Word</Application>
  <DocSecurity>0</DocSecurity>
  <Lines>77</Lines>
  <Paragraphs>21</Paragraphs>
  <ScaleCrop>false</ScaleCrop>
  <Company/>
  <LinksUpToDate>false</LinksUpToDate>
  <CharactersWithSpaces>10935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Stefano Pandolfo</dc:creator>
  <cp:keywords/>
  <dc:description/>
  <cp:lastModifiedBy>Stefano Pandolfo</cp:lastModifiedBy>
  <cp:revision>1</cp:revision>
  <dcterms:created xsi:type="dcterms:W3CDTF">2017-10-17T08:17:00Z</dcterms:created>
  <dcterms:modified xsi:type="dcterms:W3CDTF">2017-10-17T08:21:00Z</dcterms:modified>
</cp:coreProperties>
</file>