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9767" w14:textId="77777777" w:rsidR="00706AB8" w:rsidRDefault="007466D2" w:rsidP="007466D2">
      <w:pPr>
        <w:pStyle w:val="NormaleWeb"/>
        <w:shd w:val="clear" w:color="auto" w:fill="FFFFFF"/>
        <w:spacing w:before="0" w:beforeAutospacing="0" w:after="165" w:afterAutospacing="0"/>
        <w:rPr>
          <w:rFonts w:ascii="Titillium Web" w:hAnsi="Titillium Web"/>
          <w:color w:val="49535D"/>
          <w:sz w:val="27"/>
          <w:szCs w:val="27"/>
        </w:rPr>
      </w:pPr>
      <w:r>
        <w:rPr>
          <w:rFonts w:ascii="Titillium Web" w:hAnsi="Titillium Web"/>
          <w:color w:val="49535D"/>
          <w:sz w:val="27"/>
          <w:szCs w:val="27"/>
        </w:rPr>
        <w:t xml:space="preserve">Con </w:t>
      </w:r>
      <w:r w:rsidRPr="00706AB8">
        <w:rPr>
          <w:rFonts w:ascii="Titillium Web" w:hAnsi="Titillium Web"/>
          <w:b/>
          <w:bCs/>
          <w:color w:val="49535D"/>
          <w:sz w:val="27"/>
          <w:szCs w:val="27"/>
        </w:rPr>
        <w:t>circ. n. 155 del 20.10.2021</w:t>
      </w:r>
      <w:r>
        <w:rPr>
          <w:rFonts w:ascii="Titillium Web" w:hAnsi="Titillium Web"/>
          <w:color w:val="49535D"/>
          <w:sz w:val="27"/>
          <w:szCs w:val="27"/>
        </w:rPr>
        <w:t xml:space="preserve"> </w:t>
      </w:r>
      <w:proofErr w:type="gramStart"/>
      <w:r>
        <w:rPr>
          <w:rFonts w:ascii="Titillium Web" w:hAnsi="Titillium Web"/>
          <w:color w:val="49535D"/>
          <w:sz w:val="27"/>
          <w:szCs w:val="27"/>
        </w:rPr>
        <w:t>l’ INPS</w:t>
      </w:r>
      <w:proofErr w:type="gramEnd"/>
      <w:r>
        <w:rPr>
          <w:rFonts w:ascii="Titillium Web" w:hAnsi="Titillium Web"/>
          <w:color w:val="49535D"/>
          <w:sz w:val="27"/>
          <w:szCs w:val="27"/>
        </w:rPr>
        <w:t xml:space="preserve"> illustra le novità normative introdotte dall’art. 66, comma 17, del DL 73/2021, convertito con modificazioni dalla Legge n. 106/2021</w:t>
      </w:r>
      <w:r w:rsidR="00706AB8">
        <w:rPr>
          <w:rFonts w:ascii="Titillium Web" w:hAnsi="Titillium Web"/>
          <w:color w:val="49535D"/>
          <w:sz w:val="27"/>
          <w:szCs w:val="27"/>
        </w:rPr>
        <w:t xml:space="preserve"> ( cd. </w:t>
      </w:r>
      <w:r>
        <w:rPr>
          <w:rFonts w:ascii="Titillium Web" w:hAnsi="Titillium Web"/>
          <w:color w:val="49535D"/>
          <w:sz w:val="27"/>
          <w:szCs w:val="27"/>
        </w:rPr>
        <w:t>DL Sostegni-</w:t>
      </w:r>
      <w:proofErr w:type="gramStart"/>
      <w:r>
        <w:rPr>
          <w:rFonts w:ascii="Titillium Web" w:hAnsi="Titillium Web"/>
          <w:color w:val="49535D"/>
          <w:sz w:val="27"/>
          <w:szCs w:val="27"/>
        </w:rPr>
        <w:t>bis</w:t>
      </w:r>
      <w:r w:rsidR="00706AB8">
        <w:rPr>
          <w:rFonts w:ascii="Titillium Web" w:hAnsi="Titillium Web"/>
          <w:color w:val="49535D"/>
          <w:sz w:val="27"/>
          <w:szCs w:val="27"/>
        </w:rPr>
        <w:t xml:space="preserve"> )</w:t>
      </w:r>
      <w:proofErr w:type="gramEnd"/>
      <w:r w:rsidR="00706AB8">
        <w:rPr>
          <w:rFonts w:ascii="Titillium Web" w:hAnsi="Titillium Web"/>
          <w:color w:val="49535D"/>
          <w:sz w:val="27"/>
          <w:szCs w:val="27"/>
        </w:rPr>
        <w:t xml:space="preserve">, in ordine all’ obbligo assicurativo </w:t>
      </w:r>
      <w:r>
        <w:rPr>
          <w:rFonts w:ascii="Titillium Web" w:hAnsi="Titillium Web"/>
          <w:color w:val="49535D"/>
          <w:sz w:val="27"/>
          <w:szCs w:val="27"/>
        </w:rPr>
        <w:t>verso il Fondo pensione lavoratori dello spettacolo (FPLS), per</w:t>
      </w:r>
      <w:r w:rsidR="00706AB8">
        <w:rPr>
          <w:rFonts w:ascii="Titillium Web" w:hAnsi="Titillium Web"/>
          <w:color w:val="49535D"/>
          <w:sz w:val="27"/>
          <w:szCs w:val="27"/>
        </w:rPr>
        <w:t xml:space="preserve">: </w:t>
      </w:r>
    </w:p>
    <w:p w14:paraId="7ACFD200" w14:textId="77777777" w:rsidR="00706AB8" w:rsidRDefault="007466D2" w:rsidP="00706AB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65" w:afterAutospacing="0"/>
        <w:rPr>
          <w:rFonts w:ascii="Titillium Web" w:hAnsi="Titillium Web"/>
          <w:color w:val="49535D"/>
          <w:sz w:val="27"/>
          <w:szCs w:val="27"/>
        </w:rPr>
      </w:pPr>
      <w:r>
        <w:rPr>
          <w:rFonts w:ascii="Titillium Web" w:hAnsi="Titillium Web"/>
          <w:color w:val="49535D"/>
          <w:sz w:val="27"/>
          <w:szCs w:val="27"/>
        </w:rPr>
        <w:t>le attività retribuite di insegnamento o di formazione svolte in enti accreditati presso le </w:t>
      </w:r>
      <w:r>
        <w:rPr>
          <w:rStyle w:val="Enfasigrassetto"/>
          <w:rFonts w:ascii="Titillium Web" w:hAnsi="Titillium Web"/>
          <w:color w:val="49535D"/>
          <w:sz w:val="27"/>
          <w:szCs w:val="27"/>
        </w:rPr>
        <w:t>amministrazioni pubbliche</w:t>
      </w:r>
      <w:r>
        <w:rPr>
          <w:rFonts w:ascii="Titillium Web" w:hAnsi="Titillium Web"/>
          <w:color w:val="49535D"/>
          <w:sz w:val="27"/>
          <w:szCs w:val="27"/>
        </w:rPr>
        <w:t xml:space="preserve"> o da queste organizzate, </w:t>
      </w:r>
    </w:p>
    <w:p w14:paraId="3D53F1B3" w14:textId="5AD1345F" w:rsidR="007466D2" w:rsidRDefault="007466D2" w:rsidP="00706AB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65" w:afterAutospacing="0"/>
        <w:rPr>
          <w:rFonts w:ascii="Titillium Web" w:hAnsi="Titillium Web"/>
          <w:color w:val="49535D"/>
          <w:sz w:val="27"/>
          <w:szCs w:val="27"/>
        </w:rPr>
      </w:pPr>
      <w:r>
        <w:rPr>
          <w:rFonts w:ascii="Titillium Web" w:hAnsi="Titillium Web"/>
          <w:color w:val="49535D"/>
          <w:sz w:val="27"/>
          <w:szCs w:val="27"/>
        </w:rPr>
        <w:t>le attività remunerate di carattere promozionale</w:t>
      </w:r>
      <w:r w:rsidR="00706AB8">
        <w:rPr>
          <w:rFonts w:ascii="Titillium Web" w:hAnsi="Titillium Web"/>
          <w:color w:val="49535D"/>
          <w:sz w:val="27"/>
          <w:szCs w:val="27"/>
        </w:rPr>
        <w:t xml:space="preserve"> di spettacoli dal vivo, cinematografici, televisivi o del settore audiovisivo</w:t>
      </w:r>
      <w:r w:rsidR="001B18A9">
        <w:rPr>
          <w:rFonts w:ascii="Titillium Web" w:hAnsi="Titillium Web"/>
          <w:color w:val="49535D"/>
          <w:sz w:val="27"/>
          <w:szCs w:val="27"/>
        </w:rPr>
        <w:t xml:space="preserve">, nonché di altri eventi organizzati o promossi da </w:t>
      </w:r>
      <w:r>
        <w:rPr>
          <w:rFonts w:ascii="Titillium Web" w:hAnsi="Titillium Web"/>
          <w:color w:val="49535D"/>
          <w:sz w:val="27"/>
          <w:szCs w:val="27"/>
        </w:rPr>
        <w:t>soggetti pubblici o privati</w:t>
      </w:r>
      <w:r w:rsidR="001B18A9">
        <w:rPr>
          <w:rFonts w:ascii="Titillium Web" w:hAnsi="Titillium Web"/>
          <w:color w:val="49535D"/>
          <w:sz w:val="27"/>
          <w:szCs w:val="27"/>
        </w:rPr>
        <w:t xml:space="preserve"> che non hanno come scopo istituzionale o sociale l’organizzazione e la  diffusione di spettacoli o di </w:t>
      </w:r>
      <w:proofErr w:type="spellStart"/>
      <w:r w:rsidR="001B18A9">
        <w:rPr>
          <w:rFonts w:ascii="Titillium Web" w:hAnsi="Titillium Web"/>
          <w:color w:val="49535D"/>
          <w:sz w:val="27"/>
          <w:szCs w:val="27"/>
        </w:rPr>
        <w:t>attiità</w:t>
      </w:r>
      <w:proofErr w:type="spellEnd"/>
      <w:r w:rsidR="001B18A9">
        <w:rPr>
          <w:rFonts w:ascii="Titillium Web" w:hAnsi="Titillium Web"/>
          <w:color w:val="49535D"/>
          <w:sz w:val="27"/>
          <w:szCs w:val="27"/>
        </w:rPr>
        <w:t xml:space="preserve"> educative collegate allo spettacolo</w:t>
      </w:r>
      <w:r>
        <w:rPr>
          <w:rFonts w:ascii="Titillium Web" w:hAnsi="Titillium Web"/>
          <w:color w:val="49535D"/>
          <w:sz w:val="27"/>
          <w:szCs w:val="27"/>
        </w:rPr>
        <w:t>.</w:t>
      </w:r>
    </w:p>
    <w:p w14:paraId="586C3B10" w14:textId="77777777" w:rsidR="007466D2" w:rsidRDefault="007466D2" w:rsidP="007466D2">
      <w:pPr>
        <w:pStyle w:val="NormaleWeb"/>
        <w:shd w:val="clear" w:color="auto" w:fill="FFFFFF"/>
        <w:spacing w:before="0" w:beforeAutospacing="0" w:after="165" w:afterAutospacing="0"/>
        <w:rPr>
          <w:rFonts w:ascii="Titillium Web" w:hAnsi="Titillium Web"/>
          <w:color w:val="49535D"/>
          <w:sz w:val="27"/>
          <w:szCs w:val="27"/>
        </w:rPr>
      </w:pPr>
      <w:r>
        <w:rPr>
          <w:rFonts w:ascii="Titillium Web" w:hAnsi="Titillium Web"/>
          <w:color w:val="49535D"/>
          <w:sz w:val="27"/>
          <w:szCs w:val="27"/>
        </w:rPr>
        <w:t>La </w:t>
      </w:r>
      <w:hyperlink r:id="rId5" w:history="1">
        <w:r>
          <w:rPr>
            <w:rStyle w:val="Collegamentoipertestuale"/>
            <w:rFonts w:ascii="Titillium Web" w:hAnsi="Titillium Web"/>
            <w:color w:val="49535D"/>
            <w:sz w:val="27"/>
            <w:szCs w:val="27"/>
          </w:rPr>
          <w:t>circolare INPS 20 ottobre 2021, n. 155</w:t>
        </w:r>
      </w:hyperlink>
      <w:r>
        <w:rPr>
          <w:rFonts w:ascii="Titillium Web" w:hAnsi="Titillium Web"/>
          <w:color w:val="49535D"/>
          <w:sz w:val="27"/>
          <w:szCs w:val="27"/>
        </w:rPr>
        <w:t> illustra le novità normative introdotte con la norma citata, in ordine agli obblighi assicurativi derivanti dalle attività sopra descritte.</w:t>
      </w:r>
    </w:p>
    <w:p w14:paraId="4B22C940" w14:textId="77777777" w:rsidR="007466D2" w:rsidRDefault="007466D2" w:rsidP="007466D2">
      <w:pPr>
        <w:pStyle w:val="NormaleWeb"/>
        <w:shd w:val="clear" w:color="auto" w:fill="FFFFFF"/>
        <w:spacing w:before="0" w:beforeAutospacing="0" w:after="165" w:afterAutospacing="0"/>
        <w:rPr>
          <w:rFonts w:ascii="Titillium Web" w:hAnsi="Titillium Web"/>
          <w:color w:val="49535D"/>
          <w:sz w:val="27"/>
          <w:szCs w:val="27"/>
        </w:rPr>
      </w:pPr>
      <w:r>
        <w:rPr>
          <w:rFonts w:ascii="Titillium Web" w:hAnsi="Titillium Web"/>
          <w:color w:val="49535D"/>
          <w:sz w:val="27"/>
          <w:szCs w:val="27"/>
        </w:rPr>
        <w:t>Premesso che le disposizioni contenute nella circolare si applicano a decorrere dal </w:t>
      </w:r>
      <w:r>
        <w:rPr>
          <w:rStyle w:val="Enfasigrassetto"/>
          <w:rFonts w:ascii="Titillium Web" w:hAnsi="Titillium Web"/>
          <w:color w:val="49535D"/>
          <w:sz w:val="27"/>
          <w:szCs w:val="27"/>
        </w:rPr>
        <w:t>1° luglio 2021</w:t>
      </w:r>
      <w:r>
        <w:rPr>
          <w:rFonts w:ascii="Titillium Web" w:hAnsi="Titillium Web"/>
          <w:color w:val="49535D"/>
          <w:sz w:val="27"/>
          <w:szCs w:val="27"/>
        </w:rPr>
        <w:t>, vengono fornite anche le </w:t>
      </w:r>
      <w:r>
        <w:rPr>
          <w:rStyle w:val="Enfasigrassetto"/>
          <w:rFonts w:ascii="Titillium Web" w:hAnsi="Titillium Web"/>
          <w:color w:val="49535D"/>
          <w:sz w:val="27"/>
          <w:szCs w:val="27"/>
        </w:rPr>
        <w:t>istruzioni operative</w:t>
      </w:r>
      <w:r>
        <w:rPr>
          <w:rFonts w:ascii="Titillium Web" w:hAnsi="Titillium Web"/>
          <w:color w:val="49535D"/>
          <w:sz w:val="27"/>
          <w:szCs w:val="27"/>
        </w:rPr>
        <w:t> che i datori di lavoro/committenti dovranno seguire per l’invio dei dati.</w:t>
      </w:r>
    </w:p>
    <w:p w14:paraId="78684ED0" w14:textId="77777777" w:rsidR="002D7220" w:rsidRDefault="002D7220"/>
    <w:sectPr w:rsidR="002D72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5442D"/>
    <w:multiLevelType w:val="hybridMultilevel"/>
    <w:tmpl w:val="59C40F54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D2"/>
    <w:rsid w:val="001B18A9"/>
    <w:rsid w:val="002D7220"/>
    <w:rsid w:val="006D3217"/>
    <w:rsid w:val="00706AB8"/>
    <w:rsid w:val="0074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2BF4"/>
  <w15:chartTrackingRefBased/>
  <w15:docId w15:val="{FF854003-77FA-4AA8-8A6B-978C0ED6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466D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46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zi2.inps.it/servizi/CircMessStd/VisualizzaDoc.aspx?tipologia=circmess&amp;idunivoco=135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Pandolfo</dc:creator>
  <cp:keywords/>
  <dc:description/>
  <cp:lastModifiedBy>Stefano Pandolfo</cp:lastModifiedBy>
  <cp:revision>1</cp:revision>
  <dcterms:created xsi:type="dcterms:W3CDTF">2021-10-22T14:32:00Z</dcterms:created>
  <dcterms:modified xsi:type="dcterms:W3CDTF">2021-10-22T15:03:00Z</dcterms:modified>
</cp:coreProperties>
</file>