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FCC" w:rsidRDefault="00823FCC" w:rsidP="002879D9">
      <w:pPr>
        <w:spacing w:after="0" w:line="240" w:lineRule="auto"/>
        <w:jc w:val="both"/>
        <w:textAlignment w:val="baseline"/>
        <w:rPr>
          <w:rFonts w:ascii="Times New Roman" w:eastAsia="Times New Roman" w:hAnsi="Times New Roman" w:cs="Times New Roman"/>
          <w:color w:val="000000"/>
          <w:sz w:val="24"/>
          <w:szCs w:val="24"/>
          <w:lang w:eastAsia="it-IT"/>
        </w:rPr>
      </w:pPr>
      <w:r w:rsidRPr="002879D9">
        <w:rPr>
          <w:rFonts w:ascii="Times New Roman" w:eastAsia="Times New Roman" w:hAnsi="Times New Roman" w:cs="Times New Roman"/>
          <w:b/>
          <w:color w:val="000000"/>
          <w:sz w:val="24"/>
          <w:szCs w:val="24"/>
          <w:lang w:eastAsia="it-IT"/>
        </w:rPr>
        <w:t>Corte costituzionale – Sentenza 27 gennaio 2017, n.28: Sentenza sull’ammissibilità del referendum abrogativo avente ad oggetto le seguenti disposizioni: - artt. 48, 49 e 50 d.lgs. 15 giugno 2015, n. 81, recante “Disciplina organi</w:t>
      </w:r>
      <w:r w:rsidR="002879D9" w:rsidRPr="002879D9">
        <w:rPr>
          <w:rFonts w:ascii="Times New Roman" w:eastAsia="Times New Roman" w:hAnsi="Times New Roman" w:cs="Times New Roman"/>
          <w:b/>
          <w:color w:val="000000"/>
          <w:sz w:val="24"/>
          <w:szCs w:val="24"/>
          <w:lang w:eastAsia="it-IT"/>
        </w:rPr>
        <w:t>c</w:t>
      </w:r>
      <w:r w:rsidRPr="002879D9">
        <w:rPr>
          <w:rFonts w:ascii="Times New Roman" w:eastAsia="Times New Roman" w:hAnsi="Times New Roman" w:cs="Times New Roman"/>
          <w:b/>
          <w:color w:val="000000"/>
          <w:sz w:val="24"/>
          <w:szCs w:val="24"/>
          <w:lang w:eastAsia="it-IT"/>
        </w:rPr>
        <w:t>a dei contratti di lavoro e revisio</w:t>
      </w:r>
      <w:r w:rsidR="002879D9" w:rsidRPr="002879D9">
        <w:rPr>
          <w:rFonts w:ascii="Times New Roman" w:eastAsia="Times New Roman" w:hAnsi="Times New Roman" w:cs="Times New Roman"/>
          <w:b/>
          <w:color w:val="000000"/>
          <w:sz w:val="24"/>
          <w:szCs w:val="24"/>
          <w:lang w:eastAsia="it-IT"/>
        </w:rPr>
        <w:t>n</w:t>
      </w:r>
      <w:r w:rsidRPr="002879D9">
        <w:rPr>
          <w:rFonts w:ascii="Times New Roman" w:eastAsia="Times New Roman" w:hAnsi="Times New Roman" w:cs="Times New Roman"/>
          <w:b/>
          <w:color w:val="000000"/>
          <w:sz w:val="24"/>
          <w:szCs w:val="24"/>
          <w:lang w:eastAsia="it-IT"/>
        </w:rPr>
        <w:t>e della normativa in tema di mansioni, a norma dell’’art. 1, comma 7, legge 10 dicembre 2014, n. 83 (voucher)</w:t>
      </w:r>
      <w:r>
        <w:rPr>
          <w:rFonts w:ascii="Times New Roman" w:eastAsia="Times New Roman" w:hAnsi="Times New Roman" w:cs="Times New Roman"/>
          <w:color w:val="000000"/>
          <w:sz w:val="24"/>
          <w:szCs w:val="24"/>
          <w:lang w:eastAsia="it-IT"/>
        </w:rPr>
        <w:t>”</w:t>
      </w:r>
    </w:p>
    <w:p w:rsidR="00823FCC" w:rsidRDefault="002879D9" w:rsidP="00823FCC">
      <w:pPr>
        <w:spacing w:after="0" w:line="240" w:lineRule="auto"/>
        <w:ind w:firstLine="397"/>
        <w:jc w:val="both"/>
        <w:textAlignment w:val="baseline"/>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                                                             &lt;&lt;SENTENZA </w:t>
      </w:r>
    </w:p>
    <w:p w:rsidR="00823FCC" w:rsidRPr="00823FCC" w:rsidRDefault="002879D9" w:rsidP="00823FCC">
      <w:pPr>
        <w:spacing w:after="0" w:line="240" w:lineRule="auto"/>
        <w:ind w:firstLine="397"/>
        <w:jc w:val="both"/>
        <w:textAlignment w:val="baseline"/>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nel  g</w:t>
      </w:r>
      <w:r w:rsidR="00823FCC" w:rsidRPr="00823FCC">
        <w:rPr>
          <w:rFonts w:ascii="Times New Roman" w:eastAsia="Times New Roman" w:hAnsi="Times New Roman" w:cs="Times New Roman"/>
          <w:color w:val="000000"/>
          <w:sz w:val="24"/>
          <w:szCs w:val="24"/>
          <w:lang w:eastAsia="it-IT"/>
        </w:rPr>
        <w:t>iudizio di ammissibilità, ai sensi d</w:t>
      </w:r>
      <w:r>
        <w:rPr>
          <w:rFonts w:ascii="Times New Roman" w:eastAsia="Times New Roman" w:hAnsi="Times New Roman" w:cs="Times New Roman"/>
          <w:color w:val="000000"/>
          <w:sz w:val="24"/>
          <w:szCs w:val="24"/>
          <w:lang w:eastAsia="it-IT"/>
        </w:rPr>
        <w:t>ell’articolo 2, primo comma, della legge costituzionale 11  marzo 1953, n. 1 ( Norme integrative della Costituzione concernen</w:t>
      </w:r>
      <w:bookmarkStart w:id="0" w:name="_GoBack"/>
      <w:bookmarkEnd w:id="0"/>
      <w:r>
        <w:rPr>
          <w:rFonts w:ascii="Times New Roman" w:eastAsia="Times New Roman" w:hAnsi="Times New Roman" w:cs="Times New Roman"/>
          <w:color w:val="000000"/>
          <w:sz w:val="24"/>
          <w:szCs w:val="24"/>
          <w:lang w:eastAsia="it-IT"/>
        </w:rPr>
        <w:t xml:space="preserve">ti la Corte costituzionale), </w:t>
      </w:r>
      <w:r w:rsidR="00823FCC" w:rsidRPr="00823FCC">
        <w:rPr>
          <w:rFonts w:ascii="Times New Roman" w:eastAsia="Times New Roman" w:hAnsi="Times New Roman" w:cs="Times New Roman"/>
          <w:color w:val="000000"/>
          <w:sz w:val="24"/>
          <w:szCs w:val="24"/>
          <w:lang w:eastAsia="it-IT"/>
        </w:rPr>
        <w:t>della richiesta di referendum popolare per l’abrogazione degli artt. 48, 49 (come modificato, al comma 3, dal d.lgs. n. 185/2016) e 50, del decreto legislativo 15 giugno 2015, n. 81, recante «Disciplina organica dei contratti di lavoro e revisione della normativa in tema di mansioni, a norma dell’art. 1, comma 7, della legge 10 dicembre 2014, n. 183 (voucher)», giudizio iscritto al n. 171 del registro referendum.</w:t>
      </w:r>
    </w:p>
    <w:p w:rsidR="00823FCC" w:rsidRPr="00823FCC" w:rsidRDefault="00823FCC" w:rsidP="00823FCC">
      <w:pPr>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823FCC">
        <w:rPr>
          <w:rFonts w:ascii="Times New Roman" w:eastAsia="Times New Roman" w:hAnsi="Times New Roman" w:cs="Times New Roman"/>
          <w:color w:val="000000"/>
          <w:sz w:val="24"/>
          <w:szCs w:val="24"/>
          <w:lang w:eastAsia="it-IT"/>
        </w:rPr>
        <w:t>Vista l’ordinanza del 9 dicembre 2016 con la quale l’Ufficio centrale per il referendum, costituito presso la Corte di cassazione ha dichiarato conforme a legge la richiesta e la successiva ordinanza del 14 dicembre 2016, di correzione di alcuni errori materiali;</w:t>
      </w:r>
    </w:p>
    <w:p w:rsidR="00823FCC" w:rsidRPr="00823FCC" w:rsidRDefault="00823FCC" w:rsidP="00823FCC">
      <w:pPr>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823FCC">
        <w:rPr>
          <w:rFonts w:ascii="Times New Roman" w:eastAsia="Times New Roman" w:hAnsi="Times New Roman" w:cs="Times New Roman"/>
          <w:color w:val="000000"/>
          <w:sz w:val="24"/>
          <w:szCs w:val="24"/>
          <w:lang w:eastAsia="it-IT"/>
        </w:rPr>
        <w:t xml:space="preserve">udito nella camera di consiglio dell’11 gennaio 2017 il Giudice relatore Giulio </w:t>
      </w:r>
      <w:proofErr w:type="spellStart"/>
      <w:r w:rsidRPr="00823FCC">
        <w:rPr>
          <w:rFonts w:ascii="Times New Roman" w:eastAsia="Times New Roman" w:hAnsi="Times New Roman" w:cs="Times New Roman"/>
          <w:color w:val="000000"/>
          <w:sz w:val="24"/>
          <w:szCs w:val="24"/>
          <w:lang w:eastAsia="it-IT"/>
        </w:rPr>
        <w:t>Prosperetti</w:t>
      </w:r>
      <w:proofErr w:type="spellEnd"/>
      <w:r w:rsidRPr="00823FCC">
        <w:rPr>
          <w:rFonts w:ascii="Times New Roman" w:eastAsia="Times New Roman" w:hAnsi="Times New Roman" w:cs="Times New Roman"/>
          <w:color w:val="000000"/>
          <w:sz w:val="24"/>
          <w:szCs w:val="24"/>
          <w:lang w:eastAsia="it-IT"/>
        </w:rPr>
        <w:t>;</w:t>
      </w:r>
    </w:p>
    <w:p w:rsidR="00823FCC" w:rsidRPr="00823FCC" w:rsidRDefault="00823FCC" w:rsidP="00823FCC">
      <w:pPr>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823FCC">
        <w:rPr>
          <w:rFonts w:ascii="Times New Roman" w:eastAsia="Times New Roman" w:hAnsi="Times New Roman" w:cs="Times New Roman"/>
          <w:color w:val="000000"/>
          <w:sz w:val="24"/>
          <w:szCs w:val="24"/>
          <w:lang w:eastAsia="it-IT"/>
        </w:rPr>
        <w:t xml:space="preserve">uditi gli avvocati Amos </w:t>
      </w:r>
      <w:proofErr w:type="spellStart"/>
      <w:r w:rsidRPr="00823FCC">
        <w:rPr>
          <w:rFonts w:ascii="Times New Roman" w:eastAsia="Times New Roman" w:hAnsi="Times New Roman" w:cs="Times New Roman"/>
          <w:color w:val="000000"/>
          <w:sz w:val="24"/>
          <w:szCs w:val="24"/>
          <w:lang w:eastAsia="it-IT"/>
        </w:rPr>
        <w:t>Andreoni</w:t>
      </w:r>
      <w:proofErr w:type="spellEnd"/>
      <w:r w:rsidRPr="00823FCC">
        <w:rPr>
          <w:rFonts w:ascii="Times New Roman" w:eastAsia="Times New Roman" w:hAnsi="Times New Roman" w:cs="Times New Roman"/>
          <w:color w:val="000000"/>
          <w:sz w:val="24"/>
          <w:szCs w:val="24"/>
          <w:lang w:eastAsia="it-IT"/>
        </w:rPr>
        <w:t xml:space="preserve"> e Vittorio Angiolini per </w:t>
      </w:r>
      <w:proofErr w:type="spellStart"/>
      <w:r w:rsidRPr="00823FCC">
        <w:rPr>
          <w:rFonts w:ascii="Times New Roman" w:eastAsia="Times New Roman" w:hAnsi="Times New Roman" w:cs="Times New Roman"/>
          <w:color w:val="000000"/>
          <w:sz w:val="24"/>
          <w:szCs w:val="24"/>
          <w:lang w:eastAsia="it-IT"/>
        </w:rPr>
        <w:t>Camusso</w:t>
      </w:r>
      <w:proofErr w:type="spellEnd"/>
      <w:r w:rsidRPr="00823FCC">
        <w:rPr>
          <w:rFonts w:ascii="Times New Roman" w:eastAsia="Times New Roman" w:hAnsi="Times New Roman" w:cs="Times New Roman"/>
          <w:color w:val="000000"/>
          <w:sz w:val="24"/>
          <w:szCs w:val="24"/>
          <w:lang w:eastAsia="it-IT"/>
        </w:rPr>
        <w:t xml:space="preserve"> Susanna Lina Giulia e </w:t>
      </w:r>
      <w:proofErr w:type="spellStart"/>
      <w:r w:rsidRPr="00823FCC">
        <w:rPr>
          <w:rFonts w:ascii="Times New Roman" w:eastAsia="Times New Roman" w:hAnsi="Times New Roman" w:cs="Times New Roman"/>
          <w:color w:val="000000"/>
          <w:sz w:val="24"/>
          <w:szCs w:val="24"/>
          <w:lang w:eastAsia="it-IT"/>
        </w:rPr>
        <w:t>Baseotto</w:t>
      </w:r>
      <w:proofErr w:type="spellEnd"/>
      <w:r w:rsidRPr="00823FCC">
        <w:rPr>
          <w:rFonts w:ascii="Times New Roman" w:eastAsia="Times New Roman" w:hAnsi="Times New Roman" w:cs="Times New Roman"/>
          <w:color w:val="000000"/>
          <w:sz w:val="24"/>
          <w:szCs w:val="24"/>
          <w:lang w:eastAsia="it-IT"/>
        </w:rPr>
        <w:t xml:space="preserve"> Giovanni Marco Mauro nella qualità di componenti del Comitato promotore del referendum e l’avvocato dello Stato Vincenzo Nunziata per il Presidente del Consiglio dei ministri.</w:t>
      </w:r>
    </w:p>
    <w:p w:rsidR="00823FCC" w:rsidRPr="00823FCC" w:rsidRDefault="00823FCC" w:rsidP="00823FCC">
      <w:pPr>
        <w:spacing w:after="0" w:line="240" w:lineRule="auto"/>
        <w:textAlignment w:val="baseline"/>
        <w:rPr>
          <w:rFonts w:ascii="inherit" w:eastAsia="Times New Roman" w:hAnsi="inherit" w:cs="Times New Roman"/>
          <w:color w:val="000000"/>
          <w:sz w:val="24"/>
          <w:szCs w:val="24"/>
          <w:lang w:eastAsia="it-IT"/>
        </w:rPr>
      </w:pPr>
      <w:r w:rsidRPr="00823FCC">
        <w:rPr>
          <w:rFonts w:ascii="inherit" w:eastAsia="Times New Roman" w:hAnsi="inherit" w:cs="Times New Roman"/>
          <w:color w:val="000000"/>
          <w:sz w:val="24"/>
          <w:szCs w:val="24"/>
          <w:lang w:eastAsia="it-IT"/>
        </w:rPr>
        <w:br/>
      </w:r>
      <w:bookmarkStart w:id="1" w:name="fatto"/>
      <w:bookmarkEnd w:id="1"/>
    </w:p>
    <w:p w:rsidR="00823FCC" w:rsidRPr="00823FCC" w:rsidRDefault="00823FCC" w:rsidP="00823FCC">
      <w:pPr>
        <w:spacing w:before="284" w:after="284" w:line="240" w:lineRule="auto"/>
        <w:jc w:val="center"/>
        <w:textAlignment w:val="baseline"/>
        <w:rPr>
          <w:rFonts w:ascii="Times New Roman" w:eastAsia="Times New Roman" w:hAnsi="Times New Roman" w:cs="Times New Roman"/>
          <w:i/>
          <w:iCs/>
          <w:color w:val="000000"/>
          <w:sz w:val="24"/>
          <w:szCs w:val="24"/>
          <w:lang w:eastAsia="it-IT"/>
        </w:rPr>
      </w:pPr>
      <w:r w:rsidRPr="00823FCC">
        <w:rPr>
          <w:rFonts w:ascii="Times New Roman" w:eastAsia="Times New Roman" w:hAnsi="Times New Roman" w:cs="Times New Roman"/>
          <w:i/>
          <w:iCs/>
          <w:color w:val="000000"/>
          <w:sz w:val="24"/>
          <w:szCs w:val="24"/>
          <w:lang w:eastAsia="it-IT"/>
        </w:rPr>
        <w:t>Ritenuto in fatto</w:t>
      </w:r>
    </w:p>
    <w:p w:rsidR="00823FCC" w:rsidRPr="00823FCC" w:rsidRDefault="00823FCC" w:rsidP="00823FCC">
      <w:pPr>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823FCC">
        <w:rPr>
          <w:rFonts w:ascii="Times New Roman" w:eastAsia="Times New Roman" w:hAnsi="Times New Roman" w:cs="Times New Roman"/>
          <w:color w:val="000000"/>
          <w:sz w:val="24"/>
          <w:szCs w:val="24"/>
          <w:lang w:eastAsia="it-IT"/>
        </w:rPr>
        <w:t>1.– Con ordinanza del 6 dicembre 2016, depositata il successivo 9 dicembre, l’Ufficio centrale per il referendum, costituito presso la Corte di cassazione, ai sensi dell’art. 12 della legge 25 maggio 1970, n. 352 (Norme sui referendum previsti dalla Costituzione e sulla iniziativa legislativa del popolo), e successive modificazioni, ha dichiarato conforme alle disposizioni di legge la richiesta di referendum popolare abrogativo, promossa da quattordici cittadini italiani (con annuncio pubblicato nella Gazzetta Ufficiale del 23 marzo 2016, serie generale, n. 69), sul quesito così inizialmente formulato: «Volete voi l’abrogazione degli articoli 48, 49 e 50 del decreto legislativo 15 giugno 2015, n. 81, recante “Disciplina organica dei contratti di lavoro e revisione della normativa in tema di mansioni, a norma dell’art. 1, comma 7, della legge 10 dicembre 2014, n. 183”?».</w:t>
      </w:r>
    </w:p>
    <w:p w:rsidR="00823FCC" w:rsidRPr="00823FCC" w:rsidRDefault="00823FCC" w:rsidP="00823FCC">
      <w:pPr>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823FCC">
        <w:rPr>
          <w:rFonts w:ascii="Times New Roman" w:eastAsia="Times New Roman" w:hAnsi="Times New Roman" w:cs="Times New Roman"/>
          <w:color w:val="000000"/>
          <w:sz w:val="24"/>
          <w:szCs w:val="24"/>
          <w:lang w:eastAsia="it-IT"/>
        </w:rPr>
        <w:t xml:space="preserve">2.− L’Ufficio centrale, con la stessa ordinanza, ha ritenuto opportuno, per maggior chiarezza e tenuto conto delle osservazioni espresse dallo stesso Comitato promotore, ascoltato all’udienza del 6 dicembre 2016, di integrare sia il testo che la sua denominazione, aggiungendo, al termine di essi, la seguente espressione: (voucher), con cui si indica, nel linguaggio comune, l’istituto di cui si chiede l’abrogazione. L’Ufficio centrale per il referendum, inoltre, ha constatato che, nelle more della procedura di richiesta referendaria, il terzo comma dell’art. 49 del decreto legislativo 15 giugno 2015, n. 81 è stato modificato ad opera dell’art. 1, comma 1, lettera b), del decreto legislativo n. 185 del 24 settembre 2016 (Disposizioni integrative e correttive dei decreti legislativi 15 giugno 2015, n. 81 e 14 settembre 2015, </w:t>
      </w:r>
      <w:proofErr w:type="spellStart"/>
      <w:r w:rsidRPr="00823FCC">
        <w:rPr>
          <w:rFonts w:ascii="Times New Roman" w:eastAsia="Times New Roman" w:hAnsi="Times New Roman" w:cs="Times New Roman"/>
          <w:color w:val="000000"/>
          <w:sz w:val="24"/>
          <w:szCs w:val="24"/>
          <w:lang w:eastAsia="it-IT"/>
        </w:rPr>
        <w:t>nn</w:t>
      </w:r>
      <w:proofErr w:type="spellEnd"/>
      <w:r w:rsidRPr="00823FCC">
        <w:rPr>
          <w:rFonts w:ascii="Times New Roman" w:eastAsia="Times New Roman" w:hAnsi="Times New Roman" w:cs="Times New Roman"/>
          <w:color w:val="000000"/>
          <w:sz w:val="24"/>
          <w:szCs w:val="24"/>
          <w:lang w:eastAsia="it-IT"/>
        </w:rPr>
        <w:t xml:space="preserve">. 148, 149, 150 e 151, a norma dell’articolo 1, comma 13, della legge 10 dicembre 2014, n. 183). Il Comitato promotore ha, tuttavia, dichiarato la persistenza dell’interesse all’iniziativa referendaria, in quanto intesa ad abrogare nella sua interezza l’istituto, che, invece, per effetto della disposizione normativa sopravvenuta, ha subito solo la modifica di alcuni limitati aspetti concernenti modalità applicative. Per effetto di tali modifiche e per garantire maggiore trasparenza, l’Ufficio centrale per il referendum ha, quindi, ritenuto di integrare il quesito proposto aggiungendo, come richiesto dal Comitato promotore, dopo il numero 49, la seguente locuzione «(come modificato al suo terzo comma dal d.lgs. n. 185/2016)». L’Ufficio </w:t>
      </w:r>
      <w:r w:rsidRPr="00823FCC">
        <w:rPr>
          <w:rFonts w:ascii="Times New Roman" w:eastAsia="Times New Roman" w:hAnsi="Times New Roman" w:cs="Times New Roman"/>
          <w:color w:val="000000"/>
          <w:sz w:val="24"/>
          <w:szCs w:val="24"/>
          <w:lang w:eastAsia="it-IT"/>
        </w:rPr>
        <w:lastRenderedPageBreak/>
        <w:t>centrale per il referendum ha, quindi, disposto di attribuire alla terza richiesta referendaria la seguente denominazione «abrogazione disposizioni sul lavoro accessorio (voucher)» ed ha dichiarato conforme a legge la richiesta del terzo quesito nella seguente formulazione: «Volete voi l’abrogazione degli artt. 48, 49 (come modificato al suo terzo comma dal d.lgs. n. 185/2016) e 50 del decreto legislativo 15 giugno 2015, n. 81, recante “Disciplina organica dei contratti di lavoro e revisione della normativa in tema di mansioni, a norma dell’art. 1, comma 7, della legge 10 dicembre 2014, n. 183 (voucher)”?».</w:t>
      </w:r>
    </w:p>
    <w:p w:rsidR="00823FCC" w:rsidRPr="00823FCC" w:rsidRDefault="00823FCC" w:rsidP="00823FCC">
      <w:pPr>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823FCC">
        <w:rPr>
          <w:rFonts w:ascii="Times New Roman" w:eastAsia="Times New Roman" w:hAnsi="Times New Roman" w:cs="Times New Roman"/>
          <w:color w:val="000000"/>
          <w:sz w:val="24"/>
          <w:szCs w:val="24"/>
          <w:lang w:eastAsia="it-IT"/>
        </w:rPr>
        <w:t>Con ordinanza presidenziale del 14 dicembre 2016, l’Ufficio centrale per il referendum, costituito presso la Corte di cassazione, ha proceduto alla correzione di alcuni errori materiali.</w:t>
      </w:r>
    </w:p>
    <w:p w:rsidR="00823FCC" w:rsidRPr="00823FCC" w:rsidRDefault="00823FCC" w:rsidP="00823FCC">
      <w:pPr>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823FCC">
        <w:rPr>
          <w:rFonts w:ascii="Times New Roman" w:eastAsia="Times New Roman" w:hAnsi="Times New Roman" w:cs="Times New Roman"/>
          <w:color w:val="000000"/>
          <w:sz w:val="24"/>
          <w:szCs w:val="24"/>
          <w:lang w:eastAsia="it-IT"/>
        </w:rPr>
        <w:t>3.− Il Presidente della Corte costituzionale, ricevuta comunicazione dell’ordinanza dell’Ufficio centrale per il referendum, ha fissato, per la conseguente deliberazione, la camera di consiglio dell’11 gennaio 2017, disponendo che ne fosse data comunicazione ai presentatori ed al Presidente del Consiglio dei ministri, ai sensi dell’art. 33, secondo comma, della legge 25 maggio 1970, n. 352 (Norme sui referendum previsti dalla Costituzione e sulla iniziativa legislativa del popolo).</w:t>
      </w:r>
    </w:p>
    <w:p w:rsidR="00823FCC" w:rsidRPr="00823FCC" w:rsidRDefault="00823FCC" w:rsidP="00823FCC">
      <w:pPr>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823FCC">
        <w:rPr>
          <w:rFonts w:ascii="Times New Roman" w:eastAsia="Times New Roman" w:hAnsi="Times New Roman" w:cs="Times New Roman"/>
          <w:color w:val="000000"/>
          <w:sz w:val="24"/>
          <w:szCs w:val="24"/>
          <w:lang w:eastAsia="it-IT"/>
        </w:rPr>
        <w:t>4.− In prossimità della camera di consiglio dell’11 gennaio 2017, sono state presentate memorie dai comitati promotori della richiesta referendaria e dal Presidente del Consiglio dei ministri, rappresentato e difeso dall’Avvocatura generale dello Stato.</w:t>
      </w:r>
    </w:p>
    <w:p w:rsidR="00823FCC" w:rsidRPr="00823FCC" w:rsidRDefault="00823FCC" w:rsidP="00823FCC">
      <w:pPr>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823FCC">
        <w:rPr>
          <w:rFonts w:ascii="Times New Roman" w:eastAsia="Times New Roman" w:hAnsi="Times New Roman" w:cs="Times New Roman"/>
          <w:color w:val="000000"/>
          <w:sz w:val="24"/>
          <w:szCs w:val="24"/>
          <w:lang w:eastAsia="it-IT"/>
        </w:rPr>
        <w:t>Nella memoria presentata per i promotori della richiesta referendaria, sono state illustrate le ragioni del quesito volto ad ottenere l’integrale abrogazione dell’attuale normativa ed è stata affermata la sussistenza dei requisiti per l’ammissibilità del quesito, in quanto conforme al disposto dell’art. 75 della Costituzione e perché omogeneo completo e chiaro.</w:t>
      </w:r>
    </w:p>
    <w:p w:rsidR="00823FCC" w:rsidRPr="00823FCC" w:rsidRDefault="00823FCC" w:rsidP="00823FCC">
      <w:pPr>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823FCC">
        <w:rPr>
          <w:rFonts w:ascii="Times New Roman" w:eastAsia="Times New Roman" w:hAnsi="Times New Roman" w:cs="Times New Roman"/>
          <w:color w:val="000000"/>
          <w:sz w:val="24"/>
          <w:szCs w:val="24"/>
          <w:lang w:eastAsia="it-IT"/>
        </w:rPr>
        <w:t xml:space="preserve">La Presidenza del Consiglio dei ministri ha, per contro, chiesto di dichiarare inammissibile il referendum abrogativo, in particolare sul presupposto della necessità di una regolamentazione del lavoro accessorio, in quanto di interesse costituzionale, per essere la normativa in oggetto contraddistinta dal proposito di tutelare la dignità del lavoratore, il cui venir meno pregiudicherebbe la tutela enunciata dai principi recati dagli artt. 1, 4, 35 e 36 </w:t>
      </w:r>
      <w:proofErr w:type="spellStart"/>
      <w:r w:rsidRPr="00823FCC">
        <w:rPr>
          <w:rFonts w:ascii="Times New Roman" w:eastAsia="Times New Roman" w:hAnsi="Times New Roman" w:cs="Times New Roman"/>
          <w:color w:val="000000"/>
          <w:sz w:val="24"/>
          <w:szCs w:val="24"/>
          <w:lang w:eastAsia="it-IT"/>
        </w:rPr>
        <w:t>Cost</w:t>
      </w:r>
      <w:proofErr w:type="spellEnd"/>
      <w:r w:rsidRPr="00823FCC">
        <w:rPr>
          <w:rFonts w:ascii="Times New Roman" w:eastAsia="Times New Roman" w:hAnsi="Times New Roman" w:cs="Times New Roman"/>
          <w:color w:val="000000"/>
          <w:sz w:val="24"/>
          <w:szCs w:val="24"/>
          <w:lang w:eastAsia="it-IT"/>
        </w:rPr>
        <w:t>. In tal senso l’Avvocatura erariale ha concluso rappresentando l’esigenza di preservare la disciplina di cui agli artt. 48 e ss. del d.lgs. n. 81 del 2015, assumendo che ciò rende «senz’altro possibili interventi modificativi della stessa, ma ad opera del legislatore e non già con una secca abrogazione ad opera referendaria».</w:t>
      </w:r>
    </w:p>
    <w:p w:rsidR="00823FCC" w:rsidRPr="00823FCC" w:rsidRDefault="00823FCC" w:rsidP="00823FCC">
      <w:pPr>
        <w:spacing w:after="0" w:line="240" w:lineRule="auto"/>
        <w:textAlignment w:val="baseline"/>
        <w:rPr>
          <w:rFonts w:ascii="inherit" w:eastAsia="Times New Roman" w:hAnsi="inherit" w:cs="Times New Roman"/>
          <w:color w:val="000000"/>
          <w:sz w:val="24"/>
          <w:szCs w:val="24"/>
          <w:lang w:eastAsia="it-IT"/>
        </w:rPr>
      </w:pPr>
      <w:r w:rsidRPr="00823FCC">
        <w:rPr>
          <w:rFonts w:ascii="inherit" w:eastAsia="Times New Roman" w:hAnsi="inherit" w:cs="Times New Roman"/>
          <w:color w:val="000000"/>
          <w:sz w:val="24"/>
          <w:szCs w:val="24"/>
          <w:lang w:eastAsia="it-IT"/>
        </w:rPr>
        <w:br/>
      </w:r>
      <w:bookmarkStart w:id="2" w:name="diritto"/>
      <w:bookmarkEnd w:id="2"/>
    </w:p>
    <w:p w:rsidR="00823FCC" w:rsidRPr="00823FCC" w:rsidRDefault="00823FCC" w:rsidP="00823FCC">
      <w:pPr>
        <w:spacing w:before="284" w:after="284" w:line="240" w:lineRule="auto"/>
        <w:jc w:val="center"/>
        <w:textAlignment w:val="baseline"/>
        <w:rPr>
          <w:rFonts w:ascii="Times New Roman" w:eastAsia="Times New Roman" w:hAnsi="Times New Roman" w:cs="Times New Roman"/>
          <w:i/>
          <w:iCs/>
          <w:color w:val="000000"/>
          <w:sz w:val="24"/>
          <w:szCs w:val="24"/>
          <w:lang w:eastAsia="it-IT"/>
        </w:rPr>
      </w:pPr>
      <w:r w:rsidRPr="00823FCC">
        <w:rPr>
          <w:rFonts w:ascii="Times New Roman" w:eastAsia="Times New Roman" w:hAnsi="Times New Roman" w:cs="Times New Roman"/>
          <w:i/>
          <w:iCs/>
          <w:color w:val="000000"/>
          <w:sz w:val="24"/>
          <w:szCs w:val="24"/>
          <w:lang w:eastAsia="it-IT"/>
        </w:rPr>
        <w:t>Considerato in diritto</w:t>
      </w:r>
    </w:p>
    <w:p w:rsidR="00823FCC" w:rsidRPr="00823FCC" w:rsidRDefault="00823FCC" w:rsidP="00823FCC">
      <w:pPr>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823FCC">
        <w:rPr>
          <w:rFonts w:ascii="Times New Roman" w:eastAsia="Times New Roman" w:hAnsi="Times New Roman" w:cs="Times New Roman"/>
          <w:color w:val="000000"/>
          <w:sz w:val="24"/>
          <w:szCs w:val="24"/>
          <w:lang w:eastAsia="it-IT"/>
        </w:rPr>
        <w:t>1.– Preliminarmente, va esclusa l’irritualità dell’intervento, in questo giudizio, dell’Avvocatura generale dello Stato: irritualità che i promotori del referendum hanno prospettato per il profilo della provenienza della correlativa richiesta da parte del Sottosegretario alla Presidenza del Consiglio dei ministri e non dal Presidente di detto Consiglio, come invece prescritto dalla legge 23 agosto 1988, n. 400 (Disciplina dell’attività di Governo e ordinamento della Presidenza del Consiglio dei Ministri).</w:t>
      </w:r>
    </w:p>
    <w:p w:rsidR="00823FCC" w:rsidRPr="00823FCC" w:rsidRDefault="00823FCC" w:rsidP="00823FCC">
      <w:pPr>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823FCC">
        <w:rPr>
          <w:rFonts w:ascii="Times New Roman" w:eastAsia="Times New Roman" w:hAnsi="Times New Roman" w:cs="Times New Roman"/>
          <w:color w:val="000000"/>
          <w:sz w:val="24"/>
          <w:szCs w:val="24"/>
          <w:lang w:eastAsia="it-IT"/>
        </w:rPr>
        <w:t>È pur vero, infatti, che, come dedotto dalla difesa dei promotori, ai sensi dell’art. 5, comma 1, lettera f), della richiamata legge n. 400 del 1988, «le attribuzioni di cui alla legge 11 marzo 1953, n.87», relative all’intervento o alla costituzione nei giudizi di legittimità costituzionale, sono direttamente assegnate dal Presidente del Consiglio dei ministri, che le esercita a nome del Governo.</w:t>
      </w:r>
    </w:p>
    <w:p w:rsidR="00823FCC" w:rsidRPr="00823FCC" w:rsidRDefault="00823FCC" w:rsidP="00823FCC">
      <w:pPr>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823FCC">
        <w:rPr>
          <w:rFonts w:ascii="Times New Roman" w:eastAsia="Times New Roman" w:hAnsi="Times New Roman" w:cs="Times New Roman"/>
          <w:color w:val="000000"/>
          <w:sz w:val="24"/>
          <w:szCs w:val="24"/>
          <w:lang w:eastAsia="it-IT"/>
        </w:rPr>
        <w:t xml:space="preserve">Questa disposizione, però, non rileva nel presente giudizio, sia perché l’intervento dell’Avvocatura erariale è in questo caso richiesto con delibera del Consiglio dei ministri adottata ai sensi (non già del citato art. 5 della legge 400 del 1988, ma) dell’art. 33 della legge 25 marzo 1970, n. 352 (Norme sui referendum previsti dalla Costituzione e sulla iniziativa legislativa del popolo), in materia, quindi, ricompresa nella delega generale di firma al Sottosegretario (perché non rientrante tra le ipotesi di correlativa esclusione), sia perché l’atto sottoscritto dal Sottosegretario, del quale </w:t>
      </w:r>
      <w:r w:rsidRPr="00823FCC">
        <w:rPr>
          <w:rFonts w:ascii="Times New Roman" w:eastAsia="Times New Roman" w:hAnsi="Times New Roman" w:cs="Times New Roman"/>
          <w:color w:val="000000"/>
          <w:sz w:val="24"/>
          <w:szCs w:val="24"/>
          <w:lang w:eastAsia="it-IT"/>
        </w:rPr>
        <w:lastRenderedPageBreak/>
        <w:t>qui si discute, non altro è che la mera comunicazione all’Avvocatura (che al Sottosegretario comunque compete) del contenuto della delibera del Consiglio dei ministri «favorevole alla presentazione di memoria in merito alla inammissibilità del referendum abrogativo» in questione.</w:t>
      </w:r>
    </w:p>
    <w:p w:rsidR="00823FCC" w:rsidRPr="00823FCC" w:rsidRDefault="00823FCC" w:rsidP="00823FCC">
      <w:pPr>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823FCC">
        <w:rPr>
          <w:rFonts w:ascii="Times New Roman" w:eastAsia="Times New Roman" w:hAnsi="Times New Roman" w:cs="Times New Roman"/>
          <w:color w:val="000000"/>
          <w:sz w:val="24"/>
          <w:szCs w:val="24"/>
          <w:lang w:eastAsia="it-IT"/>
        </w:rPr>
        <w:t xml:space="preserve">2.– La Corte è chiamata a pronunciarsi sull’ammissibilità della richiesta di referendum popolare per l’abrogazione degli artt. 48, 49 (come modificato, al comma 3, dal d.lgs. n. 185/2016) e 50, del decreto legislativo 15 giugno 2015, n. 81, recante «Disciplina organica dei contratti di lavoro e revisione della normativa in tema di mansioni, a norma dell’art. 1, comma 7, della legge 10 dicembre 2014, n. 183 (voucher)». La richiesta è stata dichiarata legittima, con ordinanza del 6-9 dicembre 2016, dall’Ufficio centrale per il referendum costituito presso la Corte di cassazione, che ha provveduto, in esito alla modifica normativa dell’art. 49 del citato d.lgs. n. 81 del 2015 ad opera dell’art. 1 del decreto legislativo n. 185 del 24 settembre 2016 (Disposizioni integrative e correttive dei decreti legislativi 15 giugno 2015, n. 81 e 14 settembre 2015, </w:t>
      </w:r>
      <w:proofErr w:type="spellStart"/>
      <w:r w:rsidRPr="00823FCC">
        <w:rPr>
          <w:rFonts w:ascii="Times New Roman" w:eastAsia="Times New Roman" w:hAnsi="Times New Roman" w:cs="Times New Roman"/>
          <w:color w:val="000000"/>
          <w:sz w:val="24"/>
          <w:szCs w:val="24"/>
          <w:lang w:eastAsia="it-IT"/>
        </w:rPr>
        <w:t>nn</w:t>
      </w:r>
      <w:proofErr w:type="spellEnd"/>
      <w:r w:rsidRPr="00823FCC">
        <w:rPr>
          <w:rFonts w:ascii="Times New Roman" w:eastAsia="Times New Roman" w:hAnsi="Times New Roman" w:cs="Times New Roman"/>
          <w:color w:val="000000"/>
          <w:sz w:val="24"/>
          <w:szCs w:val="24"/>
          <w:lang w:eastAsia="it-IT"/>
        </w:rPr>
        <w:t>. 148, 149, 150 e 151, a norma dell’articolo 1, comma 13, della legge 10 dicembre 2014, n. 183).</w:t>
      </w:r>
    </w:p>
    <w:p w:rsidR="00823FCC" w:rsidRPr="00823FCC" w:rsidRDefault="00823FCC" w:rsidP="00823FCC">
      <w:pPr>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823FCC">
        <w:rPr>
          <w:rFonts w:ascii="Times New Roman" w:eastAsia="Times New Roman" w:hAnsi="Times New Roman" w:cs="Times New Roman"/>
          <w:color w:val="000000"/>
          <w:sz w:val="24"/>
          <w:szCs w:val="24"/>
          <w:lang w:eastAsia="it-IT"/>
        </w:rPr>
        <w:t>3.– Le disposizioni oggetto del quesito referendario disciplinano l’istituto del «lavoro accessorio», introdotto nell’ordinamento dagli artt. da 70 a 73 del decreto legislativo 10 settembre 2003, n. 276 (Attuazione delle deleghe in materia di occupazione e mercato del lavoro, di cui alla legge 14 febbraio 2003, n. 30).</w:t>
      </w:r>
    </w:p>
    <w:p w:rsidR="00823FCC" w:rsidRPr="00823FCC" w:rsidRDefault="00823FCC" w:rsidP="00823FCC">
      <w:pPr>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823FCC">
        <w:rPr>
          <w:rFonts w:ascii="Times New Roman" w:eastAsia="Times New Roman" w:hAnsi="Times New Roman" w:cs="Times New Roman"/>
          <w:color w:val="000000"/>
          <w:sz w:val="24"/>
          <w:szCs w:val="24"/>
          <w:lang w:eastAsia="it-IT"/>
        </w:rPr>
        <w:t>In particolare, l’art. 70, comma 1, del citato d.lgs. n. 276 del 2003 definiva le prestazioni occasionali di tipo accessorio, come «attività lavorative di natura meramente occasionale rese da soggetti a rischio di esclusione sociale o comunque non ancora entrati nel mercato del lavoro, ovvero in procinto di uscirne, nell’ambito: a) dei piccoli lavori domestici a carattere straordinario, compresa l’assistenza domiciliare a bambini e alle persone anziane, ammalate o con handicap; b) dell’insegnamento privato supplementare; c) dei piccoli lavori di giardinaggio, pulizia e manutenzione di edifici e monumenti; d) della realizzazione di manifestazioni sociali, sportive, culturali o caritatevoli; e) della collaborazione con enti pubblici e associazioni di volontariato per lo svolgimento di lavori di emergenza, come quelli dovuti a calamità o eventi naturali improvvisi, o di solidarietà».</w:t>
      </w:r>
    </w:p>
    <w:p w:rsidR="00823FCC" w:rsidRPr="00823FCC" w:rsidRDefault="00823FCC" w:rsidP="00823FCC">
      <w:pPr>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823FCC">
        <w:rPr>
          <w:rFonts w:ascii="Times New Roman" w:eastAsia="Times New Roman" w:hAnsi="Times New Roman" w:cs="Times New Roman"/>
          <w:color w:val="000000"/>
          <w:sz w:val="24"/>
          <w:szCs w:val="24"/>
          <w:lang w:eastAsia="it-IT"/>
        </w:rPr>
        <w:t>Il comma 2 dello stesso art. 70 disponeva poi che la durata di tali attività lavorative non dovesse superare trenta giorni nel corso dell’anno solare e comunque dar luogo nello stesso anno a compensi superiori a 3 mila euro, sempre nel corso di un anno solare.</w:t>
      </w:r>
    </w:p>
    <w:p w:rsidR="00823FCC" w:rsidRPr="00823FCC" w:rsidRDefault="00823FCC" w:rsidP="00823FCC">
      <w:pPr>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823FCC">
        <w:rPr>
          <w:rFonts w:ascii="Times New Roman" w:eastAsia="Times New Roman" w:hAnsi="Times New Roman" w:cs="Times New Roman"/>
          <w:color w:val="000000"/>
          <w:sz w:val="24"/>
          <w:szCs w:val="24"/>
          <w:lang w:eastAsia="it-IT"/>
        </w:rPr>
        <w:t>A sua volta l’art. 71 stabiliva le caratteristiche soggettive dei prestatori di lavoro accessorio, individuandoli: nei disoccupati da oltre un anno, nelle casalinghe, studenti e pensionati, nei disabili e soggetti in comunità di recupero, nei lavoratori extracomunitari regolarmente soggiornanti in Italia, nei sei mesi successivi alla perdita del lavoro.</w:t>
      </w:r>
    </w:p>
    <w:p w:rsidR="00823FCC" w:rsidRPr="00823FCC" w:rsidRDefault="00823FCC" w:rsidP="00823FCC">
      <w:pPr>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823FCC">
        <w:rPr>
          <w:rFonts w:ascii="Times New Roman" w:eastAsia="Times New Roman" w:hAnsi="Times New Roman" w:cs="Times New Roman"/>
          <w:color w:val="000000"/>
          <w:sz w:val="24"/>
          <w:szCs w:val="24"/>
          <w:lang w:eastAsia="it-IT"/>
        </w:rPr>
        <w:t xml:space="preserve">L’art. 72 introduceva innovative modalità di pagamento, prevedendo un carnet di buoni per prestazioni di lavoro accessorio del valore nominale di 7,50 euro, con un onere contributivo a fini previdenziali pari a 1 euro da versare alla Gestione separata Inps di cui all’art. 2, comma 26, della legge 8 agosto 1995, n. 335 (Riforma del sistema pensionistico obbligatorio e complementare), e di 0,50 euro </w:t>
      </w:r>
      <w:proofErr w:type="spellStart"/>
      <w:r w:rsidRPr="00823FCC">
        <w:rPr>
          <w:rFonts w:ascii="Times New Roman" w:eastAsia="Times New Roman" w:hAnsi="Times New Roman" w:cs="Times New Roman"/>
          <w:color w:val="000000"/>
          <w:sz w:val="24"/>
          <w:szCs w:val="24"/>
          <w:lang w:eastAsia="it-IT"/>
        </w:rPr>
        <w:t>all’Inail</w:t>
      </w:r>
      <w:proofErr w:type="spellEnd"/>
      <w:r w:rsidRPr="00823FCC">
        <w:rPr>
          <w:rFonts w:ascii="Times New Roman" w:eastAsia="Times New Roman" w:hAnsi="Times New Roman" w:cs="Times New Roman"/>
          <w:color w:val="000000"/>
          <w:sz w:val="24"/>
          <w:szCs w:val="24"/>
          <w:lang w:eastAsia="it-IT"/>
        </w:rPr>
        <w:t xml:space="preserve"> per fini assicurativi contro gli infortuni sul lavoro. La disposizione prevedeva l’esenzione fiscale del compenso corrisposto al lavoratore e la sua non incidenza sullo stato di disoccupato o inoccupato del lavoratore medesimo.</w:t>
      </w:r>
    </w:p>
    <w:p w:rsidR="00823FCC" w:rsidRPr="00823FCC" w:rsidRDefault="00823FCC" w:rsidP="00823FCC">
      <w:pPr>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823FCC">
        <w:rPr>
          <w:rFonts w:ascii="Times New Roman" w:eastAsia="Times New Roman" w:hAnsi="Times New Roman" w:cs="Times New Roman"/>
          <w:color w:val="000000"/>
          <w:sz w:val="24"/>
          <w:szCs w:val="24"/>
          <w:lang w:eastAsia="it-IT"/>
        </w:rPr>
        <w:t>Infine, l’art. 73 del medesimo d.lgs. n. 276 del 2003 dettava disposizioni in tema di coordinamento informativo ai fini previdenziali, prevedendo modalità per la verifica dell’andamento delle prestazioni di carattere previdenziale e delle relative entrate contributive, «conseguenti allo sviluppo delle attività di lavoro accessorio».</w:t>
      </w:r>
    </w:p>
    <w:p w:rsidR="00823FCC" w:rsidRPr="00823FCC" w:rsidRDefault="00823FCC" w:rsidP="00823FCC">
      <w:pPr>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823FCC">
        <w:rPr>
          <w:rFonts w:ascii="Times New Roman" w:eastAsia="Times New Roman" w:hAnsi="Times New Roman" w:cs="Times New Roman"/>
          <w:color w:val="000000"/>
          <w:sz w:val="24"/>
          <w:szCs w:val="24"/>
          <w:lang w:eastAsia="it-IT"/>
        </w:rPr>
        <w:t xml:space="preserve">L’istituto in esame ha </w:t>
      </w:r>
      <w:proofErr w:type="spellStart"/>
      <w:r w:rsidRPr="00823FCC">
        <w:rPr>
          <w:rFonts w:ascii="Times New Roman" w:eastAsia="Times New Roman" w:hAnsi="Times New Roman" w:cs="Times New Roman"/>
          <w:color w:val="000000"/>
          <w:sz w:val="24"/>
          <w:szCs w:val="24"/>
          <w:lang w:eastAsia="it-IT"/>
        </w:rPr>
        <w:t>subíto</w:t>
      </w:r>
      <w:proofErr w:type="spellEnd"/>
      <w:r w:rsidRPr="00823FCC">
        <w:rPr>
          <w:rFonts w:ascii="Times New Roman" w:eastAsia="Times New Roman" w:hAnsi="Times New Roman" w:cs="Times New Roman"/>
          <w:color w:val="000000"/>
          <w:sz w:val="24"/>
          <w:szCs w:val="24"/>
          <w:lang w:eastAsia="it-IT"/>
        </w:rPr>
        <w:t xml:space="preserve"> nel tempo numerose, profonde, modifiche quali, in particolare, quelle recate dall’art. 16, comma 1, del decreto legislativo 6 ottobre 2004, n. 251 (Disposizioni correttive del </w:t>
      </w:r>
      <w:proofErr w:type="spellStart"/>
      <w:r w:rsidRPr="00823FCC">
        <w:rPr>
          <w:rFonts w:ascii="Times New Roman" w:eastAsia="Times New Roman" w:hAnsi="Times New Roman" w:cs="Times New Roman"/>
          <w:color w:val="000000"/>
          <w:sz w:val="24"/>
          <w:szCs w:val="24"/>
          <w:lang w:eastAsia="it-IT"/>
        </w:rPr>
        <w:t>D.Lgs.</w:t>
      </w:r>
      <w:proofErr w:type="spellEnd"/>
      <w:r w:rsidRPr="00823FCC">
        <w:rPr>
          <w:rFonts w:ascii="Times New Roman" w:eastAsia="Times New Roman" w:hAnsi="Times New Roman" w:cs="Times New Roman"/>
          <w:color w:val="000000"/>
          <w:sz w:val="24"/>
          <w:szCs w:val="24"/>
          <w:lang w:eastAsia="it-IT"/>
        </w:rPr>
        <w:t xml:space="preserve"> 10 settembre 2003, n. 276, in materia di occupazione e mercato del lavoro), dall’art. 22 del decreto-legge 25 giugno 2008, n. 112 (Disposizioni urgenti per lo sviluppo economico, la semplificazione, la competitività, la stabilizzazione della finanza pubblica e la perequazione tributaria), convertito in legge dall’art. 1, comma 32, lettera a), della legge 28 giugno </w:t>
      </w:r>
      <w:r w:rsidRPr="00823FCC">
        <w:rPr>
          <w:rFonts w:ascii="Times New Roman" w:eastAsia="Times New Roman" w:hAnsi="Times New Roman" w:cs="Times New Roman"/>
          <w:color w:val="000000"/>
          <w:sz w:val="24"/>
          <w:szCs w:val="24"/>
          <w:lang w:eastAsia="it-IT"/>
        </w:rPr>
        <w:lastRenderedPageBreak/>
        <w:t>2012, n. 92 (Disposizioni in materia di riforma del mercato del lavoro in una prospettiva di crescita), dall’art. 7 del decreto-legge 28 giugno 2013, n. 76, recante «Primi Interventi urgenti per la promozione dell’occupazione, in particolare giovanile, della coesione sociale, nonché in materia di Imposta sul valore aggiunto (IVA) e altre misure finanziarie urgenti», convertito, con modificazioni, dall’art. 1, comma 1, della legge 9 agosto 2013, n. 99, e, infine, dagli artt. 48, 49 e 50 del d.lgs. n. 81 del 2015, oggetto della richiesta referendaria, che hanno integralmente riscritto la disciplina delle disposizioni degli artt. 70, 71, 72, e 73 del d.lgs. n. 276 del 2003, abrogate espressamente dall’art. 55, comma 1, lettera d), del medesimo d.lgs. n. 81 del 2015.</w:t>
      </w:r>
    </w:p>
    <w:p w:rsidR="00823FCC" w:rsidRPr="00823FCC" w:rsidRDefault="00823FCC" w:rsidP="00823FCC">
      <w:pPr>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823FCC">
        <w:rPr>
          <w:rFonts w:ascii="Times New Roman" w:eastAsia="Times New Roman" w:hAnsi="Times New Roman" w:cs="Times New Roman"/>
          <w:color w:val="000000"/>
          <w:sz w:val="24"/>
          <w:szCs w:val="24"/>
          <w:lang w:eastAsia="it-IT"/>
        </w:rPr>
        <w:t>4.– La richiesta referendaria in esame risulta ammissibile.</w:t>
      </w:r>
    </w:p>
    <w:p w:rsidR="00823FCC" w:rsidRPr="00823FCC" w:rsidRDefault="00823FCC" w:rsidP="00823FCC">
      <w:pPr>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823FCC">
        <w:rPr>
          <w:rFonts w:ascii="Times New Roman" w:eastAsia="Times New Roman" w:hAnsi="Times New Roman" w:cs="Times New Roman"/>
          <w:color w:val="000000"/>
          <w:sz w:val="24"/>
          <w:szCs w:val="24"/>
          <w:lang w:eastAsia="it-IT"/>
        </w:rPr>
        <w:t xml:space="preserve">Nel caso in esame, questa Corte rileva innanzitutto che il quesito non è riconducibile, né direttamente né indirettamente, a materie sottratte dall’art. 75 </w:t>
      </w:r>
      <w:proofErr w:type="spellStart"/>
      <w:r w:rsidRPr="00823FCC">
        <w:rPr>
          <w:rFonts w:ascii="Times New Roman" w:eastAsia="Times New Roman" w:hAnsi="Times New Roman" w:cs="Times New Roman"/>
          <w:color w:val="000000"/>
          <w:sz w:val="24"/>
          <w:szCs w:val="24"/>
          <w:lang w:eastAsia="it-IT"/>
        </w:rPr>
        <w:t>Cost</w:t>
      </w:r>
      <w:proofErr w:type="spellEnd"/>
      <w:r w:rsidRPr="00823FCC">
        <w:rPr>
          <w:rFonts w:ascii="Times New Roman" w:eastAsia="Times New Roman" w:hAnsi="Times New Roman" w:cs="Times New Roman"/>
          <w:color w:val="000000"/>
          <w:sz w:val="24"/>
          <w:szCs w:val="24"/>
          <w:lang w:eastAsia="it-IT"/>
        </w:rPr>
        <w:t>. al vaglio referendario.</w:t>
      </w:r>
    </w:p>
    <w:p w:rsidR="00823FCC" w:rsidRPr="00823FCC" w:rsidRDefault="00823FCC" w:rsidP="00823FCC">
      <w:pPr>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823FCC">
        <w:rPr>
          <w:rFonts w:ascii="Times New Roman" w:eastAsia="Times New Roman" w:hAnsi="Times New Roman" w:cs="Times New Roman"/>
          <w:color w:val="000000"/>
          <w:sz w:val="24"/>
          <w:szCs w:val="24"/>
          <w:lang w:eastAsia="it-IT"/>
        </w:rPr>
        <w:t xml:space="preserve">Ai fini del giudizio di ammissibilità, a partire dalla sentenza n. 16 del 1978, questa Corte ha individuato quattro distinti complessi di ragioni di inammissibilità del referendum abrogativo. In particolare, sono ritenute inammissibili: 1) le richieste che incorrono in una delle cause di inammissibilità testualmente indicate dal secondo comma dell’art. 75 </w:t>
      </w:r>
      <w:proofErr w:type="spellStart"/>
      <w:r w:rsidRPr="00823FCC">
        <w:rPr>
          <w:rFonts w:ascii="Times New Roman" w:eastAsia="Times New Roman" w:hAnsi="Times New Roman" w:cs="Times New Roman"/>
          <w:color w:val="000000"/>
          <w:sz w:val="24"/>
          <w:szCs w:val="24"/>
          <w:lang w:eastAsia="it-IT"/>
        </w:rPr>
        <w:t>Cost</w:t>
      </w:r>
      <w:proofErr w:type="spellEnd"/>
      <w:r w:rsidRPr="00823FCC">
        <w:rPr>
          <w:rFonts w:ascii="Times New Roman" w:eastAsia="Times New Roman" w:hAnsi="Times New Roman" w:cs="Times New Roman"/>
          <w:color w:val="000000"/>
          <w:sz w:val="24"/>
          <w:szCs w:val="24"/>
          <w:lang w:eastAsia="it-IT"/>
        </w:rPr>
        <w:t xml:space="preserve">. (leggi tributarie e di bilancio, di amnistia e di indulto, di autorizzazione a ratificare trattati internazionali), la cui interpretazione però non deve limitarsi a quella letterale ma deve, invece, essere integrata con quella logico-sistematica, affinché siano sottratte al referendum anche «le disposizioni produttive di effetti collegati in modo così stretto all’ambito di operatività delle leggi espressamente indicate dall’art. 75, che la preclusione debba ritenersi sottintesa» (sentenza n. 16 del 1978); 2) quelle aventi ad oggetto una pluralità di domande eterogenee e carenti di una matrice razionalmente unitaria; 3) quelle aventi ad oggetto non un atto avente forza di legge ordinaria, ma la Costituzione, le leggi di revisione costituzionale, le altre leggi costituzionali di cui all’art. 138 </w:t>
      </w:r>
      <w:proofErr w:type="spellStart"/>
      <w:r w:rsidRPr="00823FCC">
        <w:rPr>
          <w:rFonts w:ascii="Times New Roman" w:eastAsia="Times New Roman" w:hAnsi="Times New Roman" w:cs="Times New Roman"/>
          <w:color w:val="000000"/>
          <w:sz w:val="24"/>
          <w:szCs w:val="24"/>
          <w:lang w:eastAsia="it-IT"/>
        </w:rPr>
        <w:t>Cost</w:t>
      </w:r>
      <w:proofErr w:type="spellEnd"/>
      <w:r w:rsidRPr="00823FCC">
        <w:rPr>
          <w:rFonts w:ascii="Times New Roman" w:eastAsia="Times New Roman" w:hAnsi="Times New Roman" w:cs="Times New Roman"/>
          <w:color w:val="000000"/>
          <w:sz w:val="24"/>
          <w:szCs w:val="24"/>
          <w:lang w:eastAsia="it-IT"/>
        </w:rPr>
        <w:t>.; 4) quelle aventi ad oggetto le disposizioni legislative ordinarie a contenuto costituzionalmente obbligato.</w:t>
      </w:r>
    </w:p>
    <w:p w:rsidR="00823FCC" w:rsidRPr="00823FCC" w:rsidRDefault="00823FCC" w:rsidP="00823FCC">
      <w:pPr>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823FCC">
        <w:rPr>
          <w:rFonts w:ascii="Times New Roman" w:eastAsia="Times New Roman" w:hAnsi="Times New Roman" w:cs="Times New Roman"/>
          <w:color w:val="000000"/>
          <w:sz w:val="24"/>
          <w:szCs w:val="24"/>
          <w:lang w:eastAsia="it-IT"/>
        </w:rPr>
        <w:t xml:space="preserve">Il quesito, inoltre, contrariamente all’assunto della Presidenza del Consiglio dei ministri, non inerisce a disposizioni cui possa essere attribuito il carattere di norma costituzionalmente necessaria, in quanto relativa alla materia del lavoro occasionale, che deve trovare obbligatoriamente una disciplina normativa. L’evoluzione dell’istituto, nel trascendere i caratteri di occasionalità dell’esigenza lavorativa cui era originariamente chiamato ad assolvere, lo ha reso alternativo a tipologie regolate da altri istituti </w:t>
      </w:r>
      <w:proofErr w:type="spellStart"/>
      <w:r w:rsidRPr="00823FCC">
        <w:rPr>
          <w:rFonts w:ascii="Times New Roman" w:eastAsia="Times New Roman" w:hAnsi="Times New Roman" w:cs="Times New Roman"/>
          <w:color w:val="000000"/>
          <w:sz w:val="24"/>
          <w:szCs w:val="24"/>
          <w:lang w:eastAsia="it-IT"/>
        </w:rPr>
        <w:t>giuslavoristici</w:t>
      </w:r>
      <w:proofErr w:type="spellEnd"/>
      <w:r w:rsidRPr="00823FCC">
        <w:rPr>
          <w:rFonts w:ascii="Times New Roman" w:eastAsia="Times New Roman" w:hAnsi="Times New Roman" w:cs="Times New Roman"/>
          <w:color w:val="000000"/>
          <w:sz w:val="24"/>
          <w:szCs w:val="24"/>
          <w:lang w:eastAsia="it-IT"/>
        </w:rPr>
        <w:t xml:space="preserve"> e quindi non necessario.</w:t>
      </w:r>
    </w:p>
    <w:p w:rsidR="00823FCC" w:rsidRPr="00823FCC" w:rsidRDefault="00823FCC" w:rsidP="00823FCC">
      <w:pPr>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823FCC">
        <w:rPr>
          <w:rFonts w:ascii="Times New Roman" w:eastAsia="Times New Roman" w:hAnsi="Times New Roman" w:cs="Times New Roman"/>
          <w:color w:val="000000"/>
          <w:sz w:val="24"/>
          <w:szCs w:val="24"/>
          <w:lang w:eastAsia="it-IT"/>
        </w:rPr>
        <w:t>Invero, attraverso i ricordati interventi normativi, la originaria disciplina del lavoro accessorio, quale attività lavorativa di natura meramente occasionale, limitata, sotto il profilo soggettivo, a particolari categorie di prestatori, e, sotto il profilo oggettivo, a specifiche attività, ha modificato la sua funzione di strumento destinato, per le sue caratteristiche, a corrispondere ad esigenze marginali e residuali del mercato del lavoro. Tale modifica appare già emblematicamente attestata dal cambiamento della denominazione della rubrica del Capo II del d.lgs. n. 276 del 2003 in cui risultano inserite le originarie previsioni normative («Prestazioni occasionali di tipo accessorio rese da particolari soggetti») rispetto a quella recata dal Capo VI del d.lgs. n. 81 del 2015, («Lavoro accessorio»), nel quale sono inseriti gli articoli di cui si chiede l’abrogazione referendaria, in quanto viene a mancare qualsiasi riferimento alla occasionalità della prestazione lavorativa quale requisito strutturale dell’istituto.</w:t>
      </w:r>
    </w:p>
    <w:p w:rsidR="00823FCC" w:rsidRPr="00823FCC" w:rsidRDefault="00823FCC" w:rsidP="00823FCC">
      <w:pPr>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823FCC">
        <w:rPr>
          <w:rFonts w:ascii="Times New Roman" w:eastAsia="Times New Roman" w:hAnsi="Times New Roman" w:cs="Times New Roman"/>
          <w:color w:val="000000"/>
          <w:sz w:val="24"/>
          <w:szCs w:val="24"/>
          <w:lang w:eastAsia="it-IT"/>
        </w:rPr>
        <w:t>Nemmeno ci si può rifare a un diverso carattere «costituzionalmente rilevante», in quanto una tale criterio non assurge a valore discriminante in sede di vaglio di ammissibilità di un quesito referendario.</w:t>
      </w:r>
    </w:p>
    <w:p w:rsidR="00823FCC" w:rsidRPr="00823FCC" w:rsidRDefault="00823FCC" w:rsidP="00823FCC">
      <w:pPr>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823FCC">
        <w:rPr>
          <w:rFonts w:ascii="Times New Roman" w:eastAsia="Times New Roman" w:hAnsi="Times New Roman" w:cs="Times New Roman"/>
          <w:color w:val="000000"/>
          <w:sz w:val="24"/>
          <w:szCs w:val="24"/>
          <w:lang w:eastAsia="it-IT"/>
        </w:rPr>
        <w:t>Il quesito, infine, rispetta anche le indicazioni della giurisprudenza costituzionale relative alla chiarezza, omogeneità e univocità desumibile «esclusivamente dalla finalità “incorporata nel quesito”, cioè dalla finalità obiettivamente ricavabile in base alla sua formulazione ed all’incidenza del referendum sul quadro normativo di riferimento» (così sentenza n. 24 del 2011).</w:t>
      </w:r>
    </w:p>
    <w:p w:rsidR="00823FCC" w:rsidRPr="00823FCC" w:rsidRDefault="00823FCC" w:rsidP="00823FCC">
      <w:pPr>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823FCC">
        <w:rPr>
          <w:rFonts w:ascii="Times New Roman" w:eastAsia="Times New Roman" w:hAnsi="Times New Roman" w:cs="Times New Roman"/>
          <w:color w:val="000000"/>
          <w:sz w:val="24"/>
          <w:szCs w:val="24"/>
          <w:lang w:eastAsia="it-IT"/>
        </w:rPr>
        <w:t xml:space="preserve">Sotto tale profilo, non vi sono dubbi in ordine al fatto che la domanda proposta, nel chiedere di eliminare le ricordate disposizioni del d.lgs. n. 81 del 2015, sia espressione di una matrice </w:t>
      </w:r>
      <w:r w:rsidRPr="00823FCC">
        <w:rPr>
          <w:rFonts w:ascii="Times New Roman" w:eastAsia="Times New Roman" w:hAnsi="Times New Roman" w:cs="Times New Roman"/>
          <w:color w:val="000000"/>
          <w:sz w:val="24"/>
          <w:szCs w:val="24"/>
          <w:lang w:eastAsia="it-IT"/>
        </w:rPr>
        <w:lastRenderedPageBreak/>
        <w:t>razionalmente unitaria, essendo l’intento referendario quello di abrogare nella sua interezza l’attuale disciplina del «lavoro accessorio».</w:t>
      </w:r>
    </w:p>
    <w:p w:rsidR="00823FCC" w:rsidRPr="00823FCC" w:rsidRDefault="00823FCC" w:rsidP="00823FCC">
      <w:pPr>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823FCC">
        <w:rPr>
          <w:rFonts w:ascii="Times New Roman" w:eastAsia="Times New Roman" w:hAnsi="Times New Roman" w:cs="Times New Roman"/>
          <w:color w:val="000000"/>
          <w:sz w:val="24"/>
          <w:szCs w:val="24"/>
          <w:lang w:eastAsia="it-IT"/>
        </w:rPr>
        <w:t>Il quesito, difatti, ha una finalità autenticamente abrogativa, così da comportare, in caso di esito positivo della consultazione, l’eliminazione dall’ordinamento della disciplina in esame.</w:t>
      </w:r>
    </w:p>
    <w:p w:rsidR="00823FCC" w:rsidRPr="00823FCC" w:rsidRDefault="00823FCC" w:rsidP="00823FCC">
      <w:pPr>
        <w:spacing w:after="0" w:line="240" w:lineRule="auto"/>
        <w:textAlignment w:val="baseline"/>
        <w:rPr>
          <w:rFonts w:ascii="inherit" w:eastAsia="Times New Roman" w:hAnsi="inherit" w:cs="Times New Roman"/>
          <w:color w:val="000000"/>
          <w:sz w:val="24"/>
          <w:szCs w:val="24"/>
          <w:lang w:eastAsia="it-IT"/>
        </w:rPr>
      </w:pPr>
      <w:r w:rsidRPr="00823FCC">
        <w:rPr>
          <w:rFonts w:ascii="inherit" w:eastAsia="Times New Roman" w:hAnsi="inherit" w:cs="Times New Roman"/>
          <w:color w:val="000000"/>
          <w:sz w:val="24"/>
          <w:szCs w:val="24"/>
          <w:lang w:eastAsia="it-IT"/>
        </w:rPr>
        <w:br/>
      </w:r>
      <w:bookmarkStart w:id="3" w:name="dispositivo"/>
      <w:bookmarkEnd w:id="3"/>
    </w:p>
    <w:p w:rsidR="00823FCC" w:rsidRPr="00823FCC" w:rsidRDefault="00823FCC" w:rsidP="00823FCC">
      <w:pPr>
        <w:spacing w:before="567" w:after="0" w:line="240" w:lineRule="auto"/>
        <w:jc w:val="center"/>
        <w:textAlignment w:val="baseline"/>
        <w:rPr>
          <w:rFonts w:ascii="Times New Roman" w:eastAsia="Times New Roman" w:hAnsi="Times New Roman" w:cs="Times New Roman"/>
          <w:smallCaps/>
          <w:color w:val="000000"/>
          <w:sz w:val="20"/>
          <w:szCs w:val="20"/>
          <w:lang w:eastAsia="it-IT"/>
        </w:rPr>
      </w:pPr>
      <w:r w:rsidRPr="00823FCC">
        <w:rPr>
          <w:rFonts w:ascii="Times New Roman" w:eastAsia="Times New Roman" w:hAnsi="Times New Roman" w:cs="Times New Roman"/>
          <w:smallCaps/>
          <w:color w:val="000000"/>
          <w:sz w:val="20"/>
          <w:szCs w:val="20"/>
          <w:lang w:eastAsia="it-IT"/>
        </w:rPr>
        <w:t>Per Questi Motivi</w:t>
      </w:r>
    </w:p>
    <w:p w:rsidR="00823FCC" w:rsidRPr="00823FCC" w:rsidRDefault="00823FCC" w:rsidP="00823FCC">
      <w:pPr>
        <w:spacing w:before="170" w:after="284" w:line="240" w:lineRule="auto"/>
        <w:jc w:val="center"/>
        <w:textAlignment w:val="baseline"/>
        <w:rPr>
          <w:rFonts w:ascii="Times New Roman" w:eastAsia="Times New Roman" w:hAnsi="Times New Roman" w:cs="Times New Roman"/>
          <w:caps/>
          <w:color w:val="000000"/>
          <w:sz w:val="28"/>
          <w:szCs w:val="28"/>
          <w:lang w:eastAsia="it-IT"/>
        </w:rPr>
      </w:pPr>
      <w:r w:rsidRPr="00823FCC">
        <w:rPr>
          <w:rFonts w:ascii="Times New Roman" w:eastAsia="Times New Roman" w:hAnsi="Times New Roman" w:cs="Times New Roman"/>
          <w:caps/>
          <w:color w:val="000000"/>
          <w:sz w:val="28"/>
          <w:szCs w:val="28"/>
          <w:lang w:eastAsia="it-IT"/>
        </w:rPr>
        <w:t>LA CORTE COSTITUZIONALE</w:t>
      </w:r>
    </w:p>
    <w:p w:rsidR="00823FCC" w:rsidRPr="00823FCC" w:rsidRDefault="00823FCC" w:rsidP="00823FCC">
      <w:pPr>
        <w:spacing w:after="113" w:line="240" w:lineRule="auto"/>
        <w:ind w:firstLine="397"/>
        <w:jc w:val="both"/>
        <w:textAlignment w:val="baseline"/>
        <w:rPr>
          <w:rFonts w:ascii="Times New Roman" w:eastAsia="Times New Roman" w:hAnsi="Times New Roman" w:cs="Times New Roman"/>
          <w:color w:val="000000"/>
          <w:sz w:val="24"/>
          <w:szCs w:val="24"/>
          <w:lang w:eastAsia="it-IT"/>
        </w:rPr>
      </w:pPr>
      <w:r w:rsidRPr="00823FCC">
        <w:rPr>
          <w:rFonts w:ascii="Times New Roman" w:eastAsia="Times New Roman" w:hAnsi="Times New Roman" w:cs="Times New Roman"/>
          <w:color w:val="000000"/>
          <w:sz w:val="24"/>
          <w:szCs w:val="24"/>
          <w:lang w:eastAsia="it-IT"/>
        </w:rPr>
        <w:t>dichiara ammissibile la richiesta di referendum popolare per l’abrogazione degli artt. 48, 49 (come modificato, al comma 3, dal d.lgs. n. 185/2016) e 50, del decreto legislativo 15 giugno 2015, n. 81, recante «Disciplina organica dei contratti di lavoro e revisione della normativa in tema di mansioni, a norma dell’art. 1, comma 7, della legge 10 dicembre 2014, n. 183 (voucher)»; richiesta dichiarata legittima con ordinanza del 6-9 dicembre 2016 dall’Ufficio centrale per il referendum costituito presso la Corte di cassazione.</w:t>
      </w:r>
    </w:p>
    <w:p w:rsidR="00823FCC" w:rsidRPr="00823FCC" w:rsidRDefault="00823FCC" w:rsidP="00823FCC">
      <w:pPr>
        <w:spacing w:after="113" w:line="240" w:lineRule="auto"/>
        <w:ind w:firstLine="397"/>
        <w:jc w:val="both"/>
        <w:textAlignment w:val="baseline"/>
        <w:rPr>
          <w:rFonts w:ascii="Times New Roman" w:eastAsia="Times New Roman" w:hAnsi="Times New Roman" w:cs="Times New Roman"/>
          <w:color w:val="000000"/>
          <w:sz w:val="24"/>
          <w:szCs w:val="24"/>
          <w:lang w:eastAsia="it-IT"/>
        </w:rPr>
      </w:pPr>
      <w:r w:rsidRPr="00823FCC">
        <w:rPr>
          <w:rFonts w:ascii="Times New Roman" w:eastAsia="Times New Roman" w:hAnsi="Times New Roman" w:cs="Times New Roman"/>
          <w:color w:val="000000"/>
          <w:sz w:val="24"/>
          <w:szCs w:val="24"/>
          <w:lang w:eastAsia="it-IT"/>
        </w:rPr>
        <w:t>Così deciso in Roma, nella sede della Corte costituzionale, Palazzo della Consulta, l’11 gennaio 2017.</w:t>
      </w:r>
      <w:r>
        <w:rPr>
          <w:rFonts w:ascii="Times New Roman" w:eastAsia="Times New Roman" w:hAnsi="Times New Roman" w:cs="Times New Roman"/>
          <w:color w:val="000000"/>
          <w:sz w:val="24"/>
          <w:szCs w:val="24"/>
          <w:lang w:eastAsia="it-IT"/>
        </w:rPr>
        <w:t>&gt;&gt;</w:t>
      </w:r>
    </w:p>
    <w:p w:rsidR="00823FCC" w:rsidRPr="00823FCC" w:rsidRDefault="00823FCC" w:rsidP="00823FCC">
      <w:pPr>
        <w:shd w:val="clear" w:color="auto" w:fill="133A3A"/>
        <w:spacing w:line="0" w:lineRule="auto"/>
        <w:jc w:val="center"/>
        <w:textAlignment w:val="baseline"/>
        <w:rPr>
          <w:rFonts w:ascii="inherit" w:eastAsia="Times New Roman" w:hAnsi="inherit" w:cs="Arial"/>
          <w:color w:val="666666"/>
          <w:sz w:val="21"/>
          <w:szCs w:val="21"/>
          <w:lang w:eastAsia="it-IT"/>
        </w:rPr>
      </w:pPr>
    </w:p>
    <w:p w:rsidR="00823FCC" w:rsidRPr="00823FCC" w:rsidRDefault="00823FCC" w:rsidP="00823FCC">
      <w:pPr>
        <w:shd w:val="clear" w:color="auto" w:fill="133A3A"/>
        <w:spacing w:after="0" w:line="240" w:lineRule="auto"/>
        <w:jc w:val="center"/>
        <w:textAlignment w:val="baseline"/>
        <w:rPr>
          <w:rFonts w:ascii="Times New Roman" w:eastAsia="Times New Roman" w:hAnsi="Times New Roman" w:cs="Times New Roman"/>
          <w:color w:val="638490"/>
          <w:sz w:val="24"/>
          <w:szCs w:val="24"/>
          <w:bdr w:val="none" w:sz="0" w:space="0" w:color="auto" w:frame="1"/>
          <w:lang w:eastAsia="it-IT"/>
        </w:rPr>
      </w:pPr>
      <w:r w:rsidRPr="00823FCC">
        <w:rPr>
          <w:rFonts w:ascii="inherit" w:eastAsia="Times New Roman" w:hAnsi="inherit" w:cs="Arial"/>
          <w:color w:val="666666"/>
          <w:sz w:val="21"/>
          <w:szCs w:val="21"/>
          <w:lang w:eastAsia="it-IT"/>
        </w:rPr>
        <w:fldChar w:fldCharType="begin"/>
      </w:r>
      <w:r w:rsidRPr="00823FCC">
        <w:rPr>
          <w:rFonts w:ascii="inherit" w:eastAsia="Times New Roman" w:hAnsi="inherit" w:cs="Arial"/>
          <w:color w:val="666666"/>
          <w:sz w:val="21"/>
          <w:szCs w:val="21"/>
          <w:lang w:eastAsia="it-IT"/>
        </w:rPr>
        <w:instrText xml:space="preserve"> HYPERLINK "http://www.cortecostituzionale.it/documenti/download/pdf/Cc_Checosa_2016.pdf" \o "Che cos'</w:instrText>
      </w:r>
      <w:r w:rsidRPr="00823FCC">
        <w:rPr>
          <w:rFonts w:ascii="inherit" w:eastAsia="Times New Roman" w:hAnsi="inherit" w:cs="Arial" w:hint="eastAsia"/>
          <w:color w:val="666666"/>
          <w:sz w:val="21"/>
          <w:szCs w:val="21"/>
          <w:lang w:eastAsia="it-IT"/>
        </w:rPr>
        <w:instrText>è</w:instrText>
      </w:r>
      <w:r w:rsidRPr="00823FCC">
        <w:rPr>
          <w:rFonts w:ascii="inherit" w:eastAsia="Times New Roman" w:hAnsi="inherit" w:cs="Arial"/>
          <w:color w:val="666666"/>
          <w:sz w:val="21"/>
          <w:szCs w:val="21"/>
          <w:lang w:eastAsia="it-IT"/>
        </w:rPr>
        <w:instrText xml:space="preserve"> la Corte Costituzionale" \t "_blank" </w:instrText>
      </w:r>
      <w:r w:rsidRPr="00823FCC">
        <w:rPr>
          <w:rFonts w:ascii="inherit" w:eastAsia="Times New Roman" w:hAnsi="inherit" w:cs="Arial"/>
          <w:color w:val="666666"/>
          <w:sz w:val="21"/>
          <w:szCs w:val="21"/>
          <w:lang w:eastAsia="it-IT"/>
        </w:rPr>
        <w:fldChar w:fldCharType="separate"/>
      </w:r>
    </w:p>
    <w:p w:rsidR="00823FCC" w:rsidRPr="00823FCC" w:rsidRDefault="00823FCC" w:rsidP="00823FCC">
      <w:pPr>
        <w:shd w:val="clear" w:color="auto" w:fill="133A3A"/>
        <w:spacing w:line="240" w:lineRule="auto"/>
        <w:jc w:val="center"/>
        <w:textAlignment w:val="baseline"/>
        <w:rPr>
          <w:rFonts w:ascii="inherit" w:eastAsia="Times New Roman" w:hAnsi="inherit" w:cs="Arial"/>
          <w:color w:val="666666"/>
          <w:sz w:val="21"/>
          <w:szCs w:val="21"/>
          <w:lang w:eastAsia="it-IT"/>
        </w:rPr>
      </w:pPr>
      <w:r w:rsidRPr="00823FCC">
        <w:rPr>
          <w:rFonts w:ascii="inherit" w:eastAsia="Times New Roman" w:hAnsi="inherit" w:cs="Arial"/>
          <w:color w:val="666666"/>
          <w:sz w:val="21"/>
          <w:szCs w:val="21"/>
          <w:lang w:eastAsia="it-IT"/>
        </w:rPr>
        <w:fldChar w:fldCharType="end"/>
      </w:r>
    </w:p>
    <w:p w:rsidR="00A80FD2" w:rsidRDefault="00A80FD2"/>
    <w:sectPr w:rsidR="00A80F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FCC"/>
    <w:rsid w:val="002879D9"/>
    <w:rsid w:val="00823FCC"/>
    <w:rsid w:val="00A80F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823FCC"/>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823FCC"/>
    <w:rPr>
      <w:rFonts w:ascii="Times New Roman" w:eastAsia="Times New Roman" w:hAnsi="Times New Roman" w:cs="Times New Roman"/>
      <w:b/>
      <w:bCs/>
      <w:sz w:val="24"/>
      <w:szCs w:val="24"/>
      <w:lang w:eastAsia="it-IT"/>
    </w:rPr>
  </w:style>
  <w:style w:type="paragraph" w:styleId="Iniziomodulo-z">
    <w:name w:val="HTML Top of Form"/>
    <w:basedOn w:val="Normale"/>
    <w:next w:val="Normale"/>
    <w:link w:val="Iniziomodulo-zCarattere"/>
    <w:hidden/>
    <w:uiPriority w:val="99"/>
    <w:semiHidden/>
    <w:unhideWhenUsed/>
    <w:rsid w:val="00823FCC"/>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823FCC"/>
    <w:rPr>
      <w:rFonts w:ascii="Arial" w:eastAsia="Times New Roman" w:hAnsi="Arial" w:cs="Arial"/>
      <w:vanish/>
      <w:sz w:val="16"/>
      <w:szCs w:val="16"/>
      <w:lang w:eastAsia="it-IT"/>
    </w:rPr>
  </w:style>
  <w:style w:type="paragraph" w:styleId="NormaleWeb">
    <w:name w:val="Normal (Web)"/>
    <w:basedOn w:val="Normale"/>
    <w:uiPriority w:val="99"/>
    <w:semiHidden/>
    <w:unhideWhenUsed/>
    <w:rsid w:val="00823F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Finemodulo-z">
    <w:name w:val="HTML Bottom of Form"/>
    <w:basedOn w:val="Normale"/>
    <w:next w:val="Normale"/>
    <w:link w:val="Finemodulo-zCarattere"/>
    <w:hidden/>
    <w:uiPriority w:val="99"/>
    <w:semiHidden/>
    <w:unhideWhenUsed/>
    <w:rsid w:val="00823FCC"/>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823FCC"/>
    <w:rPr>
      <w:rFonts w:ascii="Arial" w:eastAsia="Times New Roman" w:hAnsi="Arial" w:cs="Arial"/>
      <w:vanish/>
      <w:sz w:val="16"/>
      <w:szCs w:val="16"/>
      <w:lang w:eastAsia="it-IT"/>
    </w:rPr>
  </w:style>
  <w:style w:type="character" w:styleId="Collegamentoipertestuale">
    <w:name w:val="Hyperlink"/>
    <w:basedOn w:val="Carpredefinitoparagrafo"/>
    <w:uiPriority w:val="99"/>
    <w:semiHidden/>
    <w:unhideWhenUsed/>
    <w:rsid w:val="00823FCC"/>
    <w:rPr>
      <w:color w:val="0000FF"/>
      <w:u w:val="single"/>
    </w:rPr>
  </w:style>
  <w:style w:type="paragraph" w:styleId="Testofumetto">
    <w:name w:val="Balloon Text"/>
    <w:basedOn w:val="Normale"/>
    <w:link w:val="TestofumettoCarattere"/>
    <w:uiPriority w:val="99"/>
    <w:semiHidden/>
    <w:unhideWhenUsed/>
    <w:rsid w:val="00823F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3F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823FCC"/>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823FCC"/>
    <w:rPr>
      <w:rFonts w:ascii="Times New Roman" w:eastAsia="Times New Roman" w:hAnsi="Times New Roman" w:cs="Times New Roman"/>
      <w:b/>
      <w:bCs/>
      <w:sz w:val="24"/>
      <w:szCs w:val="24"/>
      <w:lang w:eastAsia="it-IT"/>
    </w:rPr>
  </w:style>
  <w:style w:type="paragraph" w:styleId="Iniziomodulo-z">
    <w:name w:val="HTML Top of Form"/>
    <w:basedOn w:val="Normale"/>
    <w:next w:val="Normale"/>
    <w:link w:val="Iniziomodulo-zCarattere"/>
    <w:hidden/>
    <w:uiPriority w:val="99"/>
    <w:semiHidden/>
    <w:unhideWhenUsed/>
    <w:rsid w:val="00823FCC"/>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823FCC"/>
    <w:rPr>
      <w:rFonts w:ascii="Arial" w:eastAsia="Times New Roman" w:hAnsi="Arial" w:cs="Arial"/>
      <w:vanish/>
      <w:sz w:val="16"/>
      <w:szCs w:val="16"/>
      <w:lang w:eastAsia="it-IT"/>
    </w:rPr>
  </w:style>
  <w:style w:type="paragraph" w:styleId="NormaleWeb">
    <w:name w:val="Normal (Web)"/>
    <w:basedOn w:val="Normale"/>
    <w:uiPriority w:val="99"/>
    <w:semiHidden/>
    <w:unhideWhenUsed/>
    <w:rsid w:val="00823F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Finemodulo-z">
    <w:name w:val="HTML Bottom of Form"/>
    <w:basedOn w:val="Normale"/>
    <w:next w:val="Normale"/>
    <w:link w:val="Finemodulo-zCarattere"/>
    <w:hidden/>
    <w:uiPriority w:val="99"/>
    <w:semiHidden/>
    <w:unhideWhenUsed/>
    <w:rsid w:val="00823FCC"/>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823FCC"/>
    <w:rPr>
      <w:rFonts w:ascii="Arial" w:eastAsia="Times New Roman" w:hAnsi="Arial" w:cs="Arial"/>
      <w:vanish/>
      <w:sz w:val="16"/>
      <w:szCs w:val="16"/>
      <w:lang w:eastAsia="it-IT"/>
    </w:rPr>
  </w:style>
  <w:style w:type="character" w:styleId="Collegamentoipertestuale">
    <w:name w:val="Hyperlink"/>
    <w:basedOn w:val="Carpredefinitoparagrafo"/>
    <w:uiPriority w:val="99"/>
    <w:semiHidden/>
    <w:unhideWhenUsed/>
    <w:rsid w:val="00823FCC"/>
    <w:rPr>
      <w:color w:val="0000FF"/>
      <w:u w:val="single"/>
    </w:rPr>
  </w:style>
  <w:style w:type="paragraph" w:styleId="Testofumetto">
    <w:name w:val="Balloon Text"/>
    <w:basedOn w:val="Normale"/>
    <w:link w:val="TestofumettoCarattere"/>
    <w:uiPriority w:val="99"/>
    <w:semiHidden/>
    <w:unhideWhenUsed/>
    <w:rsid w:val="00823F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3F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550692">
      <w:bodyDiv w:val="1"/>
      <w:marLeft w:val="0"/>
      <w:marRight w:val="0"/>
      <w:marTop w:val="0"/>
      <w:marBottom w:val="0"/>
      <w:divBdr>
        <w:top w:val="none" w:sz="0" w:space="0" w:color="auto"/>
        <w:left w:val="none" w:sz="0" w:space="0" w:color="auto"/>
        <w:bottom w:val="none" w:sz="0" w:space="0" w:color="auto"/>
        <w:right w:val="none" w:sz="0" w:space="0" w:color="auto"/>
      </w:divBdr>
      <w:divsChild>
        <w:div w:id="1565949391">
          <w:marLeft w:val="0"/>
          <w:marRight w:val="0"/>
          <w:marTop w:val="0"/>
          <w:marBottom w:val="0"/>
          <w:divBdr>
            <w:top w:val="none" w:sz="0" w:space="0" w:color="auto"/>
            <w:left w:val="none" w:sz="0" w:space="0" w:color="auto"/>
            <w:bottom w:val="none" w:sz="0" w:space="0" w:color="auto"/>
            <w:right w:val="none" w:sz="0" w:space="0" w:color="auto"/>
          </w:divBdr>
          <w:divsChild>
            <w:div w:id="951279548">
              <w:marLeft w:val="0"/>
              <w:marRight w:val="0"/>
              <w:marTop w:val="0"/>
              <w:marBottom w:val="0"/>
              <w:divBdr>
                <w:top w:val="none" w:sz="0" w:space="0" w:color="auto"/>
                <w:left w:val="none" w:sz="0" w:space="0" w:color="auto"/>
                <w:bottom w:val="none" w:sz="0" w:space="0" w:color="auto"/>
                <w:right w:val="none" w:sz="0" w:space="0" w:color="auto"/>
              </w:divBdr>
              <w:divsChild>
                <w:div w:id="1524326121">
                  <w:marLeft w:val="0"/>
                  <w:marRight w:val="0"/>
                  <w:marTop w:val="0"/>
                  <w:marBottom w:val="0"/>
                  <w:divBdr>
                    <w:top w:val="none" w:sz="0" w:space="0" w:color="auto"/>
                    <w:left w:val="none" w:sz="0" w:space="0" w:color="auto"/>
                    <w:bottom w:val="none" w:sz="0" w:space="0" w:color="auto"/>
                    <w:right w:val="none" w:sz="0" w:space="0" w:color="auto"/>
                  </w:divBdr>
                  <w:divsChild>
                    <w:div w:id="987057620">
                      <w:marLeft w:val="0"/>
                      <w:marRight w:val="0"/>
                      <w:marTop w:val="0"/>
                      <w:marBottom w:val="0"/>
                      <w:divBdr>
                        <w:top w:val="none" w:sz="0" w:space="0" w:color="auto"/>
                        <w:left w:val="none" w:sz="0" w:space="0" w:color="auto"/>
                        <w:bottom w:val="none" w:sz="0" w:space="0" w:color="auto"/>
                        <w:right w:val="none" w:sz="0" w:space="0" w:color="auto"/>
                      </w:divBdr>
                      <w:divsChild>
                        <w:div w:id="1448112327">
                          <w:marLeft w:val="0"/>
                          <w:marRight w:val="0"/>
                          <w:marTop w:val="0"/>
                          <w:marBottom w:val="0"/>
                          <w:divBdr>
                            <w:top w:val="none" w:sz="0" w:space="0" w:color="auto"/>
                            <w:left w:val="none" w:sz="0" w:space="0" w:color="auto"/>
                            <w:bottom w:val="none" w:sz="0" w:space="0" w:color="auto"/>
                            <w:right w:val="none" w:sz="0" w:space="0" w:color="auto"/>
                          </w:divBdr>
                          <w:divsChild>
                            <w:div w:id="2060741335">
                              <w:marLeft w:val="0"/>
                              <w:marRight w:val="0"/>
                              <w:marTop w:val="0"/>
                              <w:marBottom w:val="0"/>
                              <w:divBdr>
                                <w:top w:val="none" w:sz="0" w:space="0" w:color="auto"/>
                                <w:left w:val="none" w:sz="0" w:space="0" w:color="auto"/>
                                <w:bottom w:val="none" w:sz="0" w:space="0" w:color="auto"/>
                                <w:right w:val="none" w:sz="0" w:space="0" w:color="auto"/>
                              </w:divBdr>
                              <w:divsChild>
                                <w:div w:id="188881918">
                                  <w:marLeft w:val="183"/>
                                  <w:marRight w:val="183"/>
                                  <w:marTop w:val="0"/>
                                  <w:marBottom w:val="600"/>
                                  <w:divBdr>
                                    <w:top w:val="none" w:sz="0" w:space="0" w:color="auto"/>
                                    <w:left w:val="none" w:sz="0" w:space="0" w:color="auto"/>
                                    <w:bottom w:val="none" w:sz="0" w:space="0" w:color="auto"/>
                                    <w:right w:val="none" w:sz="0" w:space="0" w:color="auto"/>
                                  </w:divBdr>
                                  <w:divsChild>
                                    <w:div w:id="1145926631">
                                      <w:marLeft w:val="0"/>
                                      <w:marRight w:val="0"/>
                                      <w:marTop w:val="0"/>
                                      <w:marBottom w:val="0"/>
                                      <w:divBdr>
                                        <w:top w:val="none" w:sz="0" w:space="0" w:color="auto"/>
                                        <w:left w:val="none" w:sz="0" w:space="0" w:color="auto"/>
                                        <w:bottom w:val="none" w:sz="0" w:space="0" w:color="auto"/>
                                        <w:right w:val="none" w:sz="0" w:space="0" w:color="auto"/>
                                      </w:divBdr>
                                      <w:divsChild>
                                        <w:div w:id="8607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030241">
          <w:marLeft w:val="0"/>
          <w:marRight w:val="0"/>
          <w:marTop w:val="0"/>
          <w:marBottom w:val="0"/>
          <w:divBdr>
            <w:top w:val="none" w:sz="0" w:space="0" w:color="auto"/>
            <w:left w:val="none" w:sz="0" w:space="0" w:color="auto"/>
            <w:bottom w:val="none" w:sz="0" w:space="0" w:color="auto"/>
            <w:right w:val="none" w:sz="0" w:space="0" w:color="auto"/>
          </w:divBdr>
          <w:divsChild>
            <w:div w:id="567964345">
              <w:marLeft w:val="0"/>
              <w:marRight w:val="0"/>
              <w:marTop w:val="0"/>
              <w:marBottom w:val="0"/>
              <w:divBdr>
                <w:top w:val="none" w:sz="0" w:space="0" w:color="auto"/>
                <w:left w:val="none" w:sz="0" w:space="0" w:color="auto"/>
                <w:bottom w:val="none" w:sz="0" w:space="0" w:color="auto"/>
                <w:right w:val="none" w:sz="0" w:space="0" w:color="auto"/>
              </w:divBdr>
              <w:divsChild>
                <w:div w:id="322399265">
                  <w:marLeft w:val="0"/>
                  <w:marRight w:val="0"/>
                  <w:marTop w:val="0"/>
                  <w:marBottom w:val="0"/>
                  <w:divBdr>
                    <w:top w:val="none" w:sz="0" w:space="0" w:color="auto"/>
                    <w:left w:val="none" w:sz="0" w:space="0" w:color="auto"/>
                    <w:bottom w:val="none" w:sz="0" w:space="0" w:color="auto"/>
                    <w:right w:val="none" w:sz="0" w:space="0" w:color="auto"/>
                  </w:divBdr>
                  <w:divsChild>
                    <w:div w:id="1616213020">
                      <w:marLeft w:val="0"/>
                      <w:marRight w:val="0"/>
                      <w:marTop w:val="0"/>
                      <w:marBottom w:val="0"/>
                      <w:divBdr>
                        <w:top w:val="none" w:sz="0" w:space="0" w:color="auto"/>
                        <w:left w:val="none" w:sz="0" w:space="0" w:color="auto"/>
                        <w:bottom w:val="none" w:sz="0" w:space="0" w:color="auto"/>
                        <w:right w:val="none" w:sz="0" w:space="0" w:color="auto"/>
                      </w:divBdr>
                      <w:divsChild>
                        <w:div w:id="1259557545">
                          <w:marLeft w:val="43"/>
                          <w:marRight w:val="43"/>
                          <w:marTop w:val="0"/>
                          <w:marBottom w:val="600"/>
                          <w:divBdr>
                            <w:top w:val="none" w:sz="0" w:space="0" w:color="auto"/>
                            <w:left w:val="none" w:sz="0" w:space="0" w:color="auto"/>
                            <w:bottom w:val="none" w:sz="0" w:space="0" w:color="auto"/>
                            <w:right w:val="none" w:sz="0" w:space="0" w:color="auto"/>
                          </w:divBdr>
                          <w:divsChild>
                            <w:div w:id="619729267">
                              <w:marLeft w:val="0"/>
                              <w:marRight w:val="0"/>
                              <w:marTop w:val="0"/>
                              <w:marBottom w:val="0"/>
                              <w:divBdr>
                                <w:top w:val="none" w:sz="0" w:space="0" w:color="auto"/>
                                <w:left w:val="none" w:sz="0" w:space="0" w:color="auto"/>
                                <w:bottom w:val="none" w:sz="0" w:space="0" w:color="auto"/>
                                <w:right w:val="none" w:sz="0" w:space="0" w:color="auto"/>
                              </w:divBdr>
                            </w:div>
                          </w:divsChild>
                        </w:div>
                        <w:div w:id="1326664458">
                          <w:marLeft w:val="43"/>
                          <w:marRight w:val="43"/>
                          <w:marTop w:val="0"/>
                          <w:marBottom w:val="600"/>
                          <w:divBdr>
                            <w:top w:val="none" w:sz="0" w:space="0" w:color="auto"/>
                            <w:left w:val="none" w:sz="0" w:space="0" w:color="auto"/>
                            <w:bottom w:val="none" w:sz="0" w:space="0" w:color="auto"/>
                            <w:right w:val="none" w:sz="0" w:space="0" w:color="auto"/>
                          </w:divBdr>
                        </w:div>
                      </w:divsChild>
                    </w:div>
                  </w:divsChild>
                </w:div>
                <w:div w:id="1946183630">
                  <w:marLeft w:val="0"/>
                  <w:marRight w:val="0"/>
                  <w:marTop w:val="0"/>
                  <w:marBottom w:val="0"/>
                  <w:divBdr>
                    <w:top w:val="none" w:sz="0" w:space="0" w:color="auto"/>
                    <w:left w:val="none" w:sz="0" w:space="0" w:color="auto"/>
                    <w:bottom w:val="none" w:sz="0" w:space="0" w:color="auto"/>
                    <w:right w:val="none" w:sz="0" w:space="0" w:color="auto"/>
                  </w:divBdr>
                  <w:divsChild>
                    <w:div w:id="1924531393">
                      <w:marLeft w:val="0"/>
                      <w:marRight w:val="0"/>
                      <w:marTop w:val="0"/>
                      <w:marBottom w:val="0"/>
                      <w:divBdr>
                        <w:top w:val="none" w:sz="0" w:space="0" w:color="auto"/>
                        <w:left w:val="none" w:sz="0" w:space="0" w:color="auto"/>
                        <w:bottom w:val="none" w:sz="0" w:space="0" w:color="auto"/>
                        <w:right w:val="none" w:sz="0" w:space="0" w:color="auto"/>
                      </w:divBdr>
                      <w:divsChild>
                        <w:div w:id="728577877">
                          <w:marLeft w:val="43"/>
                          <w:marRight w:val="43"/>
                          <w:marTop w:val="0"/>
                          <w:marBottom w:val="600"/>
                          <w:divBdr>
                            <w:top w:val="none" w:sz="0" w:space="0" w:color="auto"/>
                            <w:left w:val="none" w:sz="0" w:space="0" w:color="auto"/>
                            <w:bottom w:val="none" w:sz="0" w:space="0" w:color="auto"/>
                            <w:right w:val="none" w:sz="0" w:space="0" w:color="auto"/>
                          </w:divBdr>
                          <w:divsChild>
                            <w:div w:id="1477995519">
                              <w:marLeft w:val="0"/>
                              <w:marRight w:val="0"/>
                              <w:marTop w:val="0"/>
                              <w:marBottom w:val="0"/>
                              <w:divBdr>
                                <w:top w:val="none" w:sz="0" w:space="0" w:color="auto"/>
                                <w:left w:val="none" w:sz="0" w:space="0" w:color="auto"/>
                                <w:bottom w:val="none" w:sz="0" w:space="0" w:color="auto"/>
                                <w:right w:val="none" w:sz="0" w:space="0" w:color="auto"/>
                              </w:divBdr>
                            </w:div>
                          </w:divsChild>
                        </w:div>
                        <w:div w:id="834341892">
                          <w:marLeft w:val="43"/>
                          <w:marRight w:val="43"/>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2818</Words>
  <Characters>16064</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Angelo</cp:lastModifiedBy>
  <cp:revision>1</cp:revision>
  <dcterms:created xsi:type="dcterms:W3CDTF">2017-03-06T08:35:00Z</dcterms:created>
  <dcterms:modified xsi:type="dcterms:W3CDTF">2017-03-06T08:57:00Z</dcterms:modified>
</cp:coreProperties>
</file>